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71" w:rsidRPr="00235B28" w:rsidRDefault="00C97571" w:rsidP="00235B28">
      <w:pPr>
        <w:pStyle w:val="Heading2"/>
        <w:spacing w:line="360" w:lineRule="auto"/>
        <w:rPr>
          <w:rFonts w:ascii="Times New Roman" w:eastAsia="Times New Roman" w:hAnsi="Times New Roman" w:cs="Times New Roman"/>
          <w:b/>
          <w:sz w:val="24"/>
          <w:szCs w:val="24"/>
        </w:rPr>
      </w:pPr>
    </w:p>
    <w:p w:rsidR="00C97571" w:rsidRPr="00235B28" w:rsidRDefault="00235B28" w:rsidP="00235B28">
      <w:pPr>
        <w:pStyle w:val="Heading2"/>
        <w:spacing w:line="360" w:lineRule="auto"/>
        <w:jc w:val="center"/>
        <w:rPr>
          <w:rStyle w:val="Strong"/>
          <w:rFonts w:ascii="Times New Roman" w:hAnsi="Times New Roman" w:cs="Times New Roman"/>
        </w:rPr>
      </w:pPr>
      <w:bookmarkStart w:id="0" w:name="_w42su1fb6b8g" w:colFirst="0" w:colLast="0"/>
      <w:bookmarkEnd w:id="0"/>
      <w:r w:rsidRPr="00235B28">
        <w:rPr>
          <w:rStyle w:val="Strong"/>
          <w:rFonts w:ascii="Times New Roman" w:hAnsi="Times New Roman" w:cs="Times New Roman"/>
        </w:rPr>
        <w:t xml:space="preserve">Association between plasma </w:t>
      </w:r>
      <w:proofErr w:type="spellStart"/>
      <w:r w:rsidRPr="00235B28">
        <w:rPr>
          <w:rStyle w:val="Strong"/>
          <w:rFonts w:ascii="Times New Roman" w:hAnsi="Times New Roman" w:cs="Times New Roman"/>
        </w:rPr>
        <w:t>procalcitonin</w:t>
      </w:r>
      <w:proofErr w:type="spellEnd"/>
      <w:r w:rsidRPr="00235B28">
        <w:rPr>
          <w:rStyle w:val="Strong"/>
          <w:rFonts w:ascii="Times New Roman" w:hAnsi="Times New Roman" w:cs="Times New Roman"/>
        </w:rPr>
        <w:t xml:space="preserve"> with onset of MACE, in patients with Acute ST elevated MI: </w:t>
      </w:r>
      <w:proofErr w:type="gramStart"/>
      <w:r w:rsidRPr="00235B28">
        <w:rPr>
          <w:rStyle w:val="Strong"/>
          <w:rFonts w:ascii="Times New Roman" w:hAnsi="Times New Roman" w:cs="Times New Roman"/>
        </w:rPr>
        <w:t>An</w:t>
      </w:r>
      <w:proofErr w:type="gramEnd"/>
      <w:r w:rsidRPr="00235B28">
        <w:rPr>
          <w:rStyle w:val="Strong"/>
          <w:rFonts w:ascii="Times New Roman" w:hAnsi="Times New Roman" w:cs="Times New Roman"/>
        </w:rPr>
        <w:t xml:space="preserve"> </w:t>
      </w:r>
      <w:proofErr w:type="spellStart"/>
      <w:r w:rsidRPr="00235B28">
        <w:rPr>
          <w:rStyle w:val="Strong"/>
          <w:rFonts w:ascii="Times New Roman" w:hAnsi="Times New Roman" w:cs="Times New Roman"/>
        </w:rPr>
        <w:t>Unicentric</w:t>
      </w:r>
      <w:proofErr w:type="spellEnd"/>
      <w:r w:rsidRPr="00235B28">
        <w:rPr>
          <w:rStyle w:val="Strong"/>
          <w:rFonts w:ascii="Times New Roman" w:hAnsi="Times New Roman" w:cs="Times New Roman"/>
        </w:rPr>
        <w:t xml:space="preserve"> Prospective Observational Comparative Study</w:t>
      </w:r>
    </w:p>
    <w:p w:rsidR="00235B28" w:rsidRDefault="00024770" w:rsidP="00235B28">
      <w:pPr>
        <w:spacing w:line="360" w:lineRule="auto"/>
        <w:jc w:val="center"/>
        <w:rPr>
          <w:rFonts w:ascii="Times New Roman" w:eastAsia="Calibri" w:hAnsi="Times New Roman" w:cs="Times New Roman"/>
          <w:b/>
          <w:sz w:val="24"/>
          <w:szCs w:val="24"/>
        </w:rPr>
      </w:pPr>
      <w:bookmarkStart w:id="1" w:name="_67xdlwyqhczp" w:colFirst="0" w:colLast="0"/>
      <w:bookmarkEnd w:id="1"/>
      <w:r>
        <w:rPr>
          <w:rFonts w:ascii="Times New Roman" w:eastAsia="Calibri" w:hAnsi="Times New Roman" w:cs="Times New Roman"/>
          <w:b/>
          <w:sz w:val="24"/>
          <w:szCs w:val="24"/>
        </w:rPr>
        <w:t xml:space="preserve">AFM </w:t>
      </w:r>
      <w:proofErr w:type="spellStart"/>
      <w:r>
        <w:rPr>
          <w:rFonts w:ascii="Times New Roman" w:eastAsia="Calibri" w:hAnsi="Times New Roman" w:cs="Times New Roman"/>
          <w:b/>
          <w:sz w:val="24"/>
          <w:szCs w:val="24"/>
        </w:rPr>
        <w:t>Azim</w:t>
      </w:r>
      <w:proofErr w:type="spellEnd"/>
      <w:r>
        <w:rPr>
          <w:rFonts w:ascii="Times New Roman" w:eastAsia="Calibri" w:hAnsi="Times New Roman" w:cs="Times New Roman"/>
          <w:b/>
          <w:sz w:val="24"/>
          <w:szCs w:val="24"/>
        </w:rPr>
        <w:t xml:space="preserve"> Anwar</w:t>
      </w:r>
    </w:p>
    <w:p w:rsidR="00235B28" w:rsidRDefault="00235B28" w:rsidP="00235B28">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Cardiology, BSMMU, Dhaka, Bangladesh</w:t>
      </w:r>
    </w:p>
    <w:p w:rsidR="00235B28" w:rsidRDefault="00235B28" w:rsidP="00235B28">
      <w:pPr>
        <w:rPr>
          <w:rStyle w:val="Emphasis"/>
          <w:rFonts w:ascii="Times New Roman" w:hAnsi="Times New Roman" w:cs="Times New Roman"/>
          <w:b/>
          <w:sz w:val="24"/>
          <w:szCs w:val="24"/>
        </w:rPr>
      </w:pPr>
    </w:p>
    <w:p w:rsidR="00235B28" w:rsidRPr="00235B28" w:rsidRDefault="00235B28" w:rsidP="00235B28">
      <w:pPr>
        <w:rPr>
          <w:rFonts w:ascii="Times New Roman" w:hAnsi="Times New Roman" w:cs="Times New Roman"/>
          <w:sz w:val="24"/>
          <w:szCs w:val="24"/>
        </w:rPr>
      </w:pPr>
      <w:r w:rsidRPr="00235B28">
        <w:rPr>
          <w:rStyle w:val="Emphasis"/>
          <w:rFonts w:ascii="Times New Roman" w:hAnsi="Times New Roman" w:cs="Times New Roman"/>
          <w:b/>
          <w:i w:val="0"/>
          <w:sz w:val="24"/>
          <w:szCs w:val="24"/>
        </w:rPr>
        <w:t>Corresponding Author:</w:t>
      </w:r>
      <w:r w:rsidRPr="00235B28">
        <w:rPr>
          <w:rStyle w:val="Emphasis"/>
          <w:rFonts w:ascii="Times New Roman" w:hAnsi="Times New Roman" w:cs="Times New Roman"/>
          <w:sz w:val="24"/>
          <w:szCs w:val="24"/>
        </w:rPr>
        <w:t xml:space="preserve"> </w:t>
      </w:r>
      <w:r w:rsidRPr="00235B28">
        <w:rPr>
          <w:rFonts w:ascii="Times New Roman" w:hAnsi="Times New Roman" w:cs="Times New Roman"/>
          <w:sz w:val="24"/>
          <w:szCs w:val="24"/>
        </w:rPr>
        <w:t xml:space="preserve">AFM </w:t>
      </w:r>
      <w:proofErr w:type="spellStart"/>
      <w:r w:rsidRPr="00235B28">
        <w:rPr>
          <w:rFonts w:ascii="Times New Roman" w:hAnsi="Times New Roman" w:cs="Times New Roman"/>
          <w:sz w:val="24"/>
          <w:szCs w:val="24"/>
        </w:rPr>
        <w:t>Azim</w:t>
      </w:r>
      <w:proofErr w:type="spellEnd"/>
      <w:r w:rsidRPr="00235B28">
        <w:rPr>
          <w:rFonts w:ascii="Times New Roman" w:hAnsi="Times New Roman" w:cs="Times New Roman"/>
          <w:sz w:val="24"/>
          <w:szCs w:val="24"/>
        </w:rPr>
        <w:t xml:space="preserve"> Anwar, Dept of Cardiology, </w:t>
      </w:r>
      <w:proofErr w:type="spellStart"/>
      <w:r w:rsidRPr="00235B28">
        <w:rPr>
          <w:rFonts w:ascii="Times New Roman" w:hAnsi="Times New Roman" w:cs="Times New Roman"/>
          <w:sz w:val="24"/>
          <w:szCs w:val="24"/>
        </w:rPr>
        <w:t>Bangabandhu</w:t>
      </w:r>
      <w:proofErr w:type="spellEnd"/>
      <w:r w:rsidRPr="00235B28">
        <w:rPr>
          <w:rFonts w:ascii="Times New Roman" w:hAnsi="Times New Roman" w:cs="Times New Roman"/>
          <w:sz w:val="24"/>
          <w:szCs w:val="24"/>
        </w:rPr>
        <w:t xml:space="preserve"> Sheikh </w:t>
      </w:r>
      <w:proofErr w:type="spellStart"/>
      <w:r w:rsidRPr="00235B28">
        <w:rPr>
          <w:rFonts w:ascii="Times New Roman" w:hAnsi="Times New Roman" w:cs="Times New Roman"/>
          <w:sz w:val="24"/>
          <w:szCs w:val="24"/>
        </w:rPr>
        <w:t>Mujib</w:t>
      </w:r>
      <w:proofErr w:type="spellEnd"/>
      <w:r w:rsidRPr="00235B28">
        <w:rPr>
          <w:rFonts w:ascii="Times New Roman" w:hAnsi="Times New Roman" w:cs="Times New Roman"/>
          <w:sz w:val="24"/>
          <w:szCs w:val="24"/>
        </w:rPr>
        <w:t xml:space="preserve"> Medical University (BSMMU).   </w:t>
      </w:r>
      <w:r w:rsidRPr="00235B28">
        <w:rPr>
          <w:rFonts w:ascii="Times New Roman" w:hAnsi="Times New Roman" w:cs="Times New Roman"/>
          <w:color w:val="050505"/>
          <w:sz w:val="24"/>
          <w:szCs w:val="24"/>
          <w:shd w:val="clear" w:color="auto" w:fill="F0F0F0"/>
        </w:rPr>
        <w:t>Cell: +8801781258505</w:t>
      </w:r>
    </w:p>
    <w:p w:rsidR="00235B28" w:rsidRPr="00914DE4" w:rsidRDefault="00794B68" w:rsidP="00235B28">
      <w:pPr>
        <w:rPr>
          <w:rFonts w:ascii="Times New Roman" w:hAnsi="Times New Roman" w:cs="Times New Roman"/>
          <w:sz w:val="24"/>
          <w:szCs w:val="24"/>
        </w:rPr>
      </w:pPr>
      <w:hyperlink r:id="rId5" w:history="1">
        <w:r w:rsidR="00235B28" w:rsidRPr="00914DE4">
          <w:rPr>
            <w:rStyle w:val="Hyperlink"/>
            <w:rFonts w:ascii="Times New Roman" w:hAnsi="Times New Roman" w:cs="Times New Roman"/>
            <w:bCs/>
            <w:sz w:val="24"/>
            <w:szCs w:val="24"/>
          </w:rPr>
          <w:t>ORCID ID: 0000-0002-2489-5000</w:t>
        </w:r>
      </w:hyperlink>
      <w:proofErr w:type="gramStart"/>
      <w:r w:rsidR="00235B28" w:rsidRPr="00914DE4">
        <w:rPr>
          <w:rFonts w:ascii="Times New Roman" w:hAnsi="Times New Roman" w:cs="Times New Roman"/>
          <w:sz w:val="24"/>
          <w:szCs w:val="24"/>
        </w:rPr>
        <w:t xml:space="preserve"> </w:t>
      </w:r>
      <w:proofErr w:type="gramEnd"/>
      <w:r w:rsidR="00235B28" w:rsidRPr="00914DE4">
        <w:rPr>
          <w:rFonts w:ascii="Times New Roman" w:hAnsi="Times New Roman" w:cs="Times New Roman"/>
          <w:sz w:val="24"/>
          <w:szCs w:val="24"/>
        </w:rPr>
        <w:t xml:space="preserve"> . </w:t>
      </w:r>
      <w:hyperlink r:id="rId6" w:history="1">
        <w:r w:rsidR="00235B28" w:rsidRPr="00914DE4">
          <w:rPr>
            <w:rStyle w:val="Hyperlink"/>
            <w:rFonts w:ascii="Times New Roman" w:hAnsi="Times New Roman" w:cs="Times New Roman"/>
            <w:bCs/>
            <w:sz w:val="24"/>
            <w:szCs w:val="24"/>
          </w:rPr>
          <w:t>azimbinanwar@gmail.com</w:t>
        </w:r>
      </w:hyperlink>
    </w:p>
    <w:p w:rsidR="00235B28" w:rsidRDefault="00235B28" w:rsidP="00235B28">
      <w:pPr>
        <w:pStyle w:val="Heading2"/>
        <w:spacing w:line="360" w:lineRule="auto"/>
        <w:rPr>
          <w:rFonts w:ascii="Times New Roman" w:eastAsia="Times New Roman" w:hAnsi="Times New Roman" w:cs="Times New Roman"/>
          <w:b/>
          <w:sz w:val="24"/>
          <w:szCs w:val="24"/>
        </w:rPr>
      </w:pPr>
    </w:p>
    <w:p w:rsidR="00C97571" w:rsidRPr="00235B28" w:rsidRDefault="00C97571" w:rsidP="00235B2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rPr>
          <w:rFonts w:ascii="Times New Roman" w:eastAsia="Times New Roman" w:hAnsi="Times New Roman" w:cs="Times New Roman"/>
          <w:sz w:val="24"/>
          <w:szCs w:val="24"/>
        </w:rPr>
      </w:pPr>
    </w:p>
    <w:p w:rsidR="00C97571" w:rsidRPr="00235B28" w:rsidRDefault="00235B28" w:rsidP="00235B28">
      <w:pPr>
        <w:pStyle w:val="Heading2"/>
        <w:spacing w:line="360" w:lineRule="auto"/>
        <w:rPr>
          <w:rFonts w:ascii="Times New Roman" w:eastAsia="Times New Roman" w:hAnsi="Times New Roman" w:cs="Times New Roman"/>
          <w:b/>
          <w:sz w:val="24"/>
          <w:szCs w:val="24"/>
        </w:rPr>
      </w:pPr>
      <w:bookmarkStart w:id="2" w:name="_r6rankrak56g" w:colFirst="0" w:colLast="0"/>
      <w:bookmarkEnd w:id="2"/>
      <w:r w:rsidRPr="00235B28">
        <w:rPr>
          <w:rFonts w:ascii="Times New Roman" w:eastAsia="Times New Roman" w:hAnsi="Times New Roman" w:cs="Times New Roman"/>
          <w:b/>
          <w:sz w:val="24"/>
          <w:szCs w:val="24"/>
        </w:rPr>
        <w:t>Introduction:</w:t>
      </w:r>
    </w:p>
    <w:p w:rsidR="00C97571" w:rsidRPr="00235B28" w:rsidRDefault="00235B28" w:rsidP="00235B28">
      <w:pPr>
        <w:pStyle w:val="normal0"/>
        <w:widowControl w:val="0"/>
        <w:spacing w:before="313" w:line="360" w:lineRule="auto"/>
        <w:ind w:left="30" w:right="115" w:firstLine="5"/>
        <w:jc w:val="both"/>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Cardiovascular diseases (CVDs) represent a leading cause of premature mortality globally. It contributes to 17.7 million deaths annually which </w:t>
      </w:r>
      <w:proofErr w:type="gramStart"/>
      <w:r w:rsidRPr="00235B28">
        <w:rPr>
          <w:rFonts w:ascii="Times New Roman" w:eastAsia="Times New Roman" w:hAnsi="Times New Roman" w:cs="Times New Roman"/>
          <w:sz w:val="24"/>
          <w:szCs w:val="24"/>
        </w:rPr>
        <w:t>is</w:t>
      </w:r>
      <w:proofErr w:type="gramEnd"/>
      <w:r w:rsidRPr="00235B28">
        <w:rPr>
          <w:rFonts w:ascii="Times New Roman" w:eastAsia="Times New Roman" w:hAnsi="Times New Roman" w:cs="Times New Roman"/>
          <w:sz w:val="24"/>
          <w:szCs w:val="24"/>
        </w:rPr>
        <w:t xml:space="preserve"> anticipated to rise to 23.6 million by 2030</w:t>
      </w:r>
      <w:r w:rsidRPr="00235B28">
        <w:rPr>
          <w:rFonts w:ascii="Times New Roman" w:eastAsia="Times New Roman" w:hAnsi="Times New Roman" w:cs="Times New Roman"/>
          <w:sz w:val="24"/>
          <w:szCs w:val="24"/>
          <w:vertAlign w:val="superscript"/>
        </w:rPr>
        <w:t>1</w:t>
      </w:r>
      <w:r w:rsidRPr="00235B28">
        <w:rPr>
          <w:rFonts w:ascii="Times New Roman" w:eastAsia="Times New Roman" w:hAnsi="Times New Roman" w:cs="Times New Roman"/>
          <w:sz w:val="24"/>
          <w:szCs w:val="24"/>
        </w:rPr>
        <w:t>. Although some developed countries have observed a decline in mortality from cardiovascular diseases in recent times, developing countries are still facing an escalating burden</w:t>
      </w:r>
      <w:r w:rsidRPr="00235B28">
        <w:rPr>
          <w:rFonts w:ascii="Times New Roman" w:eastAsia="Times New Roman" w:hAnsi="Times New Roman" w:cs="Times New Roman"/>
          <w:sz w:val="24"/>
          <w:szCs w:val="24"/>
          <w:vertAlign w:val="superscript"/>
        </w:rPr>
        <w:t>2</w:t>
      </w:r>
      <w:r w:rsidRPr="00235B28">
        <w:rPr>
          <w:rFonts w:ascii="Times New Roman" w:eastAsia="Times New Roman" w:hAnsi="Times New Roman" w:cs="Times New Roman"/>
          <w:sz w:val="24"/>
          <w:szCs w:val="24"/>
        </w:rPr>
        <w:t>. In South Asia, ischemic heart disease is the leading cause of mortality. It accounts for 10.6% of total reported fatalities, equating to 1.8 million deaths, and contributes to more than half of cardiovascular mortality</w:t>
      </w:r>
      <w:r w:rsidRPr="00235B28">
        <w:rPr>
          <w:rFonts w:ascii="Times New Roman" w:eastAsia="Times New Roman" w:hAnsi="Times New Roman" w:cs="Times New Roman"/>
          <w:sz w:val="24"/>
          <w:szCs w:val="24"/>
          <w:vertAlign w:val="superscript"/>
        </w:rPr>
        <w:t>3</w:t>
      </w:r>
      <w:r w:rsidRPr="00235B28">
        <w:rPr>
          <w:rFonts w:ascii="Times New Roman" w:eastAsia="Times New Roman" w:hAnsi="Times New Roman" w:cs="Times New Roman"/>
          <w:sz w:val="24"/>
          <w:szCs w:val="24"/>
        </w:rPr>
        <w:t xml:space="preserve">. Despite this scenario, very little is known about the exact prevalence </w:t>
      </w:r>
      <w:proofErr w:type="gramStart"/>
      <w:r w:rsidRPr="00235B28">
        <w:rPr>
          <w:rFonts w:ascii="Times New Roman" w:eastAsia="Times New Roman" w:hAnsi="Times New Roman" w:cs="Times New Roman"/>
          <w:sz w:val="24"/>
          <w:szCs w:val="24"/>
        </w:rPr>
        <w:t>of  coronary</w:t>
      </w:r>
      <w:proofErr w:type="gramEnd"/>
      <w:r w:rsidRPr="00235B28">
        <w:rPr>
          <w:rFonts w:ascii="Times New Roman" w:eastAsia="Times New Roman" w:hAnsi="Times New Roman" w:cs="Times New Roman"/>
          <w:sz w:val="24"/>
          <w:szCs w:val="24"/>
        </w:rPr>
        <w:t xml:space="preserve"> artery disease in Bangladesh. Recent data suggests that coronary artery disease prevalence ranges from 1.85% to 3.4% in rural areas and 19.6% in urban settings</w:t>
      </w:r>
      <w:r w:rsidRPr="00235B28">
        <w:rPr>
          <w:rFonts w:ascii="Times New Roman" w:eastAsia="Times New Roman" w:hAnsi="Times New Roman" w:cs="Times New Roman"/>
          <w:sz w:val="24"/>
          <w:szCs w:val="24"/>
          <w:vertAlign w:val="superscript"/>
        </w:rPr>
        <w:t>4</w:t>
      </w:r>
      <w:r w:rsidRPr="00235B28">
        <w:rPr>
          <w:rFonts w:ascii="Times New Roman" w:eastAsia="Times New Roman" w:hAnsi="Times New Roman" w:cs="Times New Roman"/>
          <w:sz w:val="24"/>
          <w:szCs w:val="24"/>
        </w:rPr>
        <w:t xml:space="preserve">. According to the Global Burden of Disease Study, as of 2020, the South Asian region, which includes India, Pakistan, Bangladesh, and Nepal, was projected to bear a disproportionate burden of </w:t>
      </w:r>
      <w:proofErr w:type="spellStart"/>
      <w:r w:rsidRPr="00235B28">
        <w:rPr>
          <w:rFonts w:ascii="Times New Roman" w:eastAsia="Times New Roman" w:hAnsi="Times New Roman" w:cs="Times New Roman"/>
          <w:sz w:val="24"/>
          <w:szCs w:val="24"/>
        </w:rPr>
        <w:t>atherothrombotic</w:t>
      </w:r>
      <w:proofErr w:type="spellEnd"/>
      <w:r w:rsidRPr="00235B28">
        <w:rPr>
          <w:rFonts w:ascii="Times New Roman" w:eastAsia="Times New Roman" w:hAnsi="Times New Roman" w:cs="Times New Roman"/>
          <w:sz w:val="24"/>
          <w:szCs w:val="24"/>
        </w:rPr>
        <w:t xml:space="preserve"> cardiovascular disease than any other region</w:t>
      </w:r>
      <w:r w:rsidRPr="00235B28">
        <w:rPr>
          <w:rFonts w:ascii="Times New Roman" w:eastAsia="Times New Roman" w:hAnsi="Times New Roman" w:cs="Times New Roman"/>
          <w:sz w:val="24"/>
          <w:szCs w:val="24"/>
          <w:vertAlign w:val="superscript"/>
        </w:rPr>
        <w:t>5</w:t>
      </w:r>
      <w:r w:rsidRPr="00235B28">
        <w:rPr>
          <w:rFonts w:ascii="Times New Roman" w:eastAsia="Times New Roman" w:hAnsi="Times New Roman" w:cs="Times New Roman"/>
          <w:sz w:val="24"/>
          <w:szCs w:val="24"/>
        </w:rPr>
        <w:t>.</w:t>
      </w:r>
    </w:p>
    <w:p w:rsidR="00C97571" w:rsidRPr="00235B28" w:rsidRDefault="00235B28" w:rsidP="00235B28">
      <w:pPr>
        <w:pStyle w:val="norm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lastRenderedPageBreak/>
        <w:t>Procalcitonin</w:t>
      </w:r>
      <w:proofErr w:type="spellEnd"/>
      <w:r w:rsidRPr="00235B28">
        <w:rPr>
          <w:rFonts w:ascii="Times New Roman" w:eastAsia="Times New Roman" w:hAnsi="Times New Roman" w:cs="Times New Roman"/>
          <w:sz w:val="24"/>
          <w:szCs w:val="24"/>
        </w:rPr>
        <w:t xml:space="preserve"> (PCT) is a 116-amino acid polypeptide precursor of </w:t>
      </w:r>
      <w:proofErr w:type="spellStart"/>
      <w:r w:rsidRPr="00235B28">
        <w:rPr>
          <w:rFonts w:ascii="Times New Roman" w:eastAsia="Times New Roman" w:hAnsi="Times New Roman" w:cs="Times New Roman"/>
          <w:sz w:val="24"/>
          <w:szCs w:val="24"/>
        </w:rPr>
        <w:t>calcitonin</w:t>
      </w:r>
      <w:proofErr w:type="spellEnd"/>
      <w:r w:rsidRPr="00235B28">
        <w:rPr>
          <w:rFonts w:ascii="Times New Roman" w:eastAsia="Times New Roman" w:hAnsi="Times New Roman" w:cs="Times New Roman"/>
          <w:sz w:val="24"/>
          <w:szCs w:val="24"/>
        </w:rPr>
        <w:t xml:space="preserve"> and is elevated in conditions associated with bacterial infections, such as sepsis</w:t>
      </w:r>
      <w:r w:rsidRPr="00235B28">
        <w:rPr>
          <w:rFonts w:ascii="Times New Roman" w:eastAsia="Times New Roman" w:hAnsi="Times New Roman" w:cs="Times New Roman"/>
          <w:sz w:val="24"/>
          <w:szCs w:val="24"/>
          <w:vertAlign w:val="superscript"/>
        </w:rPr>
        <w:t>6</w:t>
      </w:r>
      <w:r w:rsidRPr="00235B28">
        <w:rPr>
          <w:rFonts w:ascii="Times New Roman" w:eastAsia="Times New Roman" w:hAnsi="Times New Roman" w:cs="Times New Roman"/>
          <w:sz w:val="24"/>
          <w:szCs w:val="24"/>
        </w:rPr>
        <w:t xml:space="preserve"> and post-cardiac surgery</w:t>
      </w:r>
      <w:r w:rsidRPr="00235B28">
        <w:rPr>
          <w:rFonts w:ascii="Times New Roman" w:eastAsia="Times New Roman" w:hAnsi="Times New Roman" w:cs="Times New Roman"/>
          <w:sz w:val="24"/>
          <w:szCs w:val="24"/>
          <w:vertAlign w:val="superscript"/>
        </w:rPr>
        <w:t>7</w:t>
      </w:r>
      <w:r w:rsidRPr="00235B28">
        <w:rPr>
          <w:rFonts w:ascii="Times New Roman" w:eastAsia="Times New Roman" w:hAnsi="Times New Roman" w:cs="Times New Roman"/>
          <w:sz w:val="24"/>
          <w:szCs w:val="24"/>
        </w:rPr>
        <w:t>. Given the inflammatory response accompanying acute myocardial infarction (AMI), multiple studies have explored the potential association between PCT levels and AMI severity and prognosis. While some studies found no clear association</w:t>
      </w:r>
      <w:r w:rsidRPr="00235B28">
        <w:rPr>
          <w:rFonts w:ascii="Times New Roman" w:eastAsia="Times New Roman" w:hAnsi="Times New Roman" w:cs="Times New Roman"/>
          <w:sz w:val="24"/>
          <w:szCs w:val="24"/>
          <w:vertAlign w:val="superscript"/>
        </w:rPr>
        <w:t>8</w:t>
      </w:r>
      <w:r w:rsidRPr="00235B28">
        <w:rPr>
          <w:rFonts w:ascii="Times New Roman" w:eastAsia="Times New Roman" w:hAnsi="Times New Roman" w:cs="Times New Roman"/>
          <w:sz w:val="24"/>
          <w:szCs w:val="24"/>
        </w:rPr>
        <w:t xml:space="preserve">, others demonstrated correlations between PCT </w:t>
      </w:r>
      <w:proofErr w:type="gramStart"/>
      <w:r w:rsidRPr="00235B28">
        <w:rPr>
          <w:rFonts w:ascii="Times New Roman" w:eastAsia="Times New Roman" w:hAnsi="Times New Roman" w:cs="Times New Roman"/>
          <w:sz w:val="24"/>
          <w:szCs w:val="24"/>
        </w:rPr>
        <w:t>release</w:t>
      </w:r>
      <w:proofErr w:type="gramEnd"/>
      <w:r w:rsidRPr="00235B28">
        <w:rPr>
          <w:rFonts w:ascii="Times New Roman" w:eastAsia="Times New Roman" w:hAnsi="Times New Roman" w:cs="Times New Roman"/>
          <w:sz w:val="24"/>
          <w:szCs w:val="24"/>
        </w:rPr>
        <w:t xml:space="preserve"> and established prognostic markers</w:t>
      </w:r>
      <w:r w:rsidRPr="00235B28">
        <w:rPr>
          <w:rFonts w:ascii="Times New Roman" w:eastAsia="Times New Roman" w:hAnsi="Times New Roman" w:cs="Times New Roman"/>
          <w:sz w:val="24"/>
          <w:szCs w:val="24"/>
          <w:vertAlign w:val="superscript"/>
        </w:rPr>
        <w:t>9</w:t>
      </w:r>
      <w:r w:rsidRPr="00235B28">
        <w:rPr>
          <w:rFonts w:ascii="Times New Roman" w:eastAsia="Times New Roman" w:hAnsi="Times New Roman" w:cs="Times New Roman"/>
          <w:sz w:val="24"/>
          <w:szCs w:val="24"/>
        </w:rPr>
        <w:t xml:space="preserve"> as well as its elevation being associated with severe heart failure, resuscitated cardiac arrest, or concurrent bacterial infection</w:t>
      </w:r>
      <w:r w:rsidRPr="00235B28">
        <w:rPr>
          <w:rFonts w:ascii="Times New Roman" w:eastAsia="Times New Roman" w:hAnsi="Times New Roman" w:cs="Times New Roman"/>
          <w:sz w:val="24"/>
          <w:szCs w:val="24"/>
          <w:vertAlign w:val="superscript"/>
        </w:rPr>
        <w:t>10</w:t>
      </w:r>
      <w:r w:rsidRPr="00235B28">
        <w:rPr>
          <w:rFonts w:ascii="Times New Roman" w:eastAsia="Times New Roman" w:hAnsi="Times New Roman" w:cs="Times New Roman"/>
          <w:sz w:val="24"/>
          <w:szCs w:val="24"/>
        </w:rPr>
        <w:t>.</w:t>
      </w:r>
    </w:p>
    <w:p w:rsidR="00C97571" w:rsidRPr="00235B28" w:rsidRDefault="00235B28" w:rsidP="00235B28">
      <w:pPr>
        <w:pStyle w:val="norm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Subsequent research delved into the role of PCT in acute coronary syndrome (ACS) finding its notable associations with major adverse cardiac and </w:t>
      </w:r>
      <w:proofErr w:type="spellStart"/>
      <w:r w:rsidRPr="00235B28">
        <w:rPr>
          <w:rFonts w:ascii="Times New Roman" w:eastAsia="Times New Roman" w:hAnsi="Times New Roman" w:cs="Times New Roman"/>
          <w:sz w:val="24"/>
          <w:szCs w:val="24"/>
        </w:rPr>
        <w:t>cerebrovascular</w:t>
      </w:r>
      <w:proofErr w:type="spellEnd"/>
      <w:r w:rsidRPr="00235B28">
        <w:rPr>
          <w:rFonts w:ascii="Times New Roman" w:eastAsia="Times New Roman" w:hAnsi="Times New Roman" w:cs="Times New Roman"/>
          <w:sz w:val="24"/>
          <w:szCs w:val="24"/>
        </w:rPr>
        <w:t xml:space="preserve"> events (MACCE). Observational studies indicate significantly higher PCT levels in ACS patients being identified as a ‘higher risk’ group of ACS </w:t>
      </w:r>
      <w:proofErr w:type="gramStart"/>
      <w:r w:rsidRPr="00235B28">
        <w:rPr>
          <w:rFonts w:ascii="Times New Roman" w:eastAsia="Times New Roman" w:hAnsi="Times New Roman" w:cs="Times New Roman"/>
          <w:sz w:val="24"/>
          <w:szCs w:val="24"/>
        </w:rPr>
        <w:t>patients  for</w:t>
      </w:r>
      <w:proofErr w:type="gramEnd"/>
      <w:r w:rsidRPr="00235B28">
        <w:rPr>
          <w:rFonts w:ascii="Times New Roman" w:eastAsia="Times New Roman" w:hAnsi="Times New Roman" w:cs="Times New Roman"/>
          <w:sz w:val="24"/>
          <w:szCs w:val="24"/>
        </w:rPr>
        <w:t xml:space="preserve"> short and long-term mortality and experiencing </w:t>
      </w:r>
      <w:proofErr w:type="spellStart"/>
      <w:r w:rsidRPr="00235B28">
        <w:rPr>
          <w:rFonts w:ascii="Times New Roman" w:eastAsia="Times New Roman" w:hAnsi="Times New Roman" w:cs="Times New Roman"/>
          <w:sz w:val="24"/>
          <w:szCs w:val="24"/>
        </w:rPr>
        <w:t>cardiogenic</w:t>
      </w:r>
      <w:proofErr w:type="spellEnd"/>
      <w:r w:rsidRPr="00235B28">
        <w:rPr>
          <w:rFonts w:ascii="Times New Roman" w:eastAsia="Times New Roman" w:hAnsi="Times New Roman" w:cs="Times New Roman"/>
          <w:sz w:val="24"/>
          <w:szCs w:val="24"/>
        </w:rPr>
        <w:t xml:space="preserve"> shock post-ST-elevation acute myocardial infarction (STEMI)</w:t>
      </w:r>
      <w:r w:rsidRPr="00235B28">
        <w:rPr>
          <w:rFonts w:ascii="Times New Roman" w:eastAsia="Times New Roman" w:hAnsi="Times New Roman" w:cs="Times New Roman"/>
          <w:sz w:val="24"/>
          <w:szCs w:val="24"/>
          <w:vertAlign w:val="superscript"/>
        </w:rPr>
        <w:t>11</w:t>
      </w:r>
      <w:r w:rsidRPr="00235B28">
        <w:rPr>
          <w:rFonts w:ascii="Times New Roman" w:eastAsia="Times New Roman" w:hAnsi="Times New Roman" w:cs="Times New Roman"/>
          <w:sz w:val="24"/>
          <w:szCs w:val="24"/>
        </w:rPr>
        <w:t>. Moreover, prospective cohort studies highlight a nearly 50% higher relative risk of MACCE at 12 months post-myocardial infarction (MI) in individuals with elevated PCT levels, with a predominant association with patient mortality during follow-up</w:t>
      </w:r>
      <w:r w:rsidRPr="00235B28">
        <w:rPr>
          <w:rFonts w:ascii="Times New Roman" w:eastAsia="Times New Roman" w:hAnsi="Times New Roman" w:cs="Times New Roman"/>
          <w:sz w:val="24"/>
          <w:szCs w:val="24"/>
          <w:vertAlign w:val="superscript"/>
        </w:rPr>
        <w:t>12</w:t>
      </w:r>
      <w:r w:rsidRPr="00235B28">
        <w:rPr>
          <w:rFonts w:ascii="Times New Roman" w:eastAsia="Times New Roman" w:hAnsi="Times New Roman" w:cs="Times New Roman"/>
          <w:sz w:val="24"/>
          <w:szCs w:val="24"/>
        </w:rPr>
        <w:t>. Larger prospective studies further confirm elevated plasma PCT levels in patients experiencing MACCE, underscoring its potential prognostic value in ACS</w:t>
      </w:r>
      <w:r w:rsidRPr="00235B28">
        <w:rPr>
          <w:rFonts w:ascii="Times New Roman" w:eastAsia="Times New Roman" w:hAnsi="Times New Roman" w:cs="Times New Roman"/>
          <w:sz w:val="24"/>
          <w:szCs w:val="24"/>
          <w:vertAlign w:val="superscript"/>
        </w:rPr>
        <w:t>13</w:t>
      </w:r>
      <w:r w:rsidRPr="00235B28">
        <w:rPr>
          <w:rFonts w:ascii="Times New Roman" w:eastAsia="Times New Roman" w:hAnsi="Times New Roman" w:cs="Times New Roman"/>
          <w:sz w:val="24"/>
          <w:szCs w:val="24"/>
        </w:rPr>
        <w:t>.</w:t>
      </w:r>
    </w:p>
    <w:p w:rsidR="00C97571" w:rsidRPr="00235B28" w:rsidRDefault="00235B28" w:rsidP="00235B28">
      <w:pPr>
        <w:pStyle w:val="normal0"/>
        <w:widowControl w:val="0"/>
        <w:spacing w:before="547" w:line="360" w:lineRule="auto"/>
        <w:ind w:left="33" w:right="119"/>
        <w:jc w:val="both"/>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There is a paucity of data regarding acute phase major adverse cardiac and </w:t>
      </w:r>
      <w:proofErr w:type="spellStart"/>
      <w:r w:rsidRPr="00235B28">
        <w:rPr>
          <w:rFonts w:ascii="Times New Roman" w:eastAsia="Times New Roman" w:hAnsi="Times New Roman" w:cs="Times New Roman"/>
          <w:sz w:val="24"/>
          <w:szCs w:val="24"/>
        </w:rPr>
        <w:t>cerebrovascular</w:t>
      </w:r>
      <w:proofErr w:type="spellEnd"/>
      <w:r w:rsidRPr="00235B28">
        <w:rPr>
          <w:rFonts w:ascii="Times New Roman" w:eastAsia="Times New Roman" w:hAnsi="Times New Roman" w:cs="Times New Roman"/>
          <w:sz w:val="24"/>
          <w:szCs w:val="24"/>
        </w:rPr>
        <w:t xml:space="preserve"> events (MACCE) following ST-segment elevation myocardial infarction (STEMI) in Bangladesh. A recent study at the National Institute of Cardiovascular Disease (NICVD</w:t>
      </w:r>
      <w:proofErr w:type="gramStart"/>
      <w:r w:rsidRPr="00235B28">
        <w:rPr>
          <w:rFonts w:ascii="Times New Roman" w:eastAsia="Times New Roman" w:hAnsi="Times New Roman" w:cs="Times New Roman"/>
          <w:sz w:val="24"/>
          <w:szCs w:val="24"/>
        </w:rPr>
        <w:t>),</w:t>
      </w:r>
      <w:proofErr w:type="gramEnd"/>
      <w:r w:rsidRPr="00235B28">
        <w:rPr>
          <w:rFonts w:ascii="Times New Roman" w:eastAsia="Times New Roman" w:hAnsi="Times New Roman" w:cs="Times New Roman"/>
          <w:sz w:val="24"/>
          <w:szCs w:val="24"/>
        </w:rPr>
        <w:t xml:space="preserve"> revealed that 6.2% of patients encountered an in-hospital adverse event, and 7.5% experienced events within the 30 days following discharge</w:t>
      </w:r>
      <w:r w:rsidRPr="00235B28">
        <w:rPr>
          <w:rFonts w:ascii="Times New Roman" w:eastAsia="Times New Roman" w:hAnsi="Times New Roman" w:cs="Times New Roman"/>
          <w:sz w:val="24"/>
          <w:szCs w:val="24"/>
          <w:vertAlign w:val="superscript"/>
        </w:rPr>
        <w:t>14</w:t>
      </w:r>
      <w:r w:rsidRPr="00235B28">
        <w:rPr>
          <w:rFonts w:ascii="Times New Roman" w:eastAsia="Times New Roman" w:hAnsi="Times New Roman" w:cs="Times New Roman"/>
          <w:sz w:val="24"/>
          <w:szCs w:val="24"/>
        </w:rPr>
        <w:t>. Another cross-sectional observational study also had similar findings where about 7.8% of the patients had MACCE events</w:t>
      </w:r>
      <w:r w:rsidRPr="00235B28">
        <w:rPr>
          <w:rFonts w:ascii="Times New Roman" w:eastAsia="Times New Roman" w:hAnsi="Times New Roman" w:cs="Times New Roman"/>
          <w:sz w:val="24"/>
          <w:szCs w:val="24"/>
          <w:vertAlign w:val="superscript"/>
        </w:rPr>
        <w:t>15</w:t>
      </w:r>
      <w:r w:rsidRPr="00235B28">
        <w:rPr>
          <w:rFonts w:ascii="Times New Roman" w:eastAsia="Times New Roman" w:hAnsi="Times New Roman" w:cs="Times New Roman"/>
          <w:sz w:val="24"/>
          <w:szCs w:val="24"/>
        </w:rPr>
        <w:t>.</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However, the role of peripheral PCT concentration in predicting ST-segment elevation myocardial infarction (STEMI) prognosis in Bangladeshi individuals remains unexplored. Our study aims to examine the relationship between PCT levels at admission and clinical outcomes post-STEMI to get a more comprehensive understanding of PCT's prognostic significance. This study focuses on MACCE as the primary endpoint during a one-month follow-up, utilizing </w:t>
      </w:r>
      <w:proofErr w:type="spellStart"/>
      <w:r w:rsidRPr="00235B28">
        <w:rPr>
          <w:rFonts w:ascii="Times New Roman" w:eastAsia="Times New Roman" w:hAnsi="Times New Roman" w:cs="Times New Roman"/>
          <w:sz w:val="24"/>
          <w:szCs w:val="24"/>
        </w:rPr>
        <w:lastRenderedPageBreak/>
        <w:t>chemiluminescence</w:t>
      </w:r>
      <w:proofErr w:type="spellEnd"/>
      <w:r w:rsidRPr="00235B28">
        <w:rPr>
          <w:rFonts w:ascii="Times New Roman" w:eastAsia="Times New Roman" w:hAnsi="Times New Roman" w:cs="Times New Roman"/>
          <w:sz w:val="24"/>
          <w:szCs w:val="24"/>
        </w:rPr>
        <w:t xml:space="preserve"> immunoassay (CLIA) technology to measure PCT levels.</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b/>
          <w:sz w:val="24"/>
          <w:szCs w:val="24"/>
        </w:rPr>
      </w:pPr>
      <w:r w:rsidRPr="00235B28">
        <w:rPr>
          <w:rFonts w:ascii="Times New Roman" w:eastAsia="Times New Roman" w:hAnsi="Times New Roman" w:cs="Times New Roman"/>
          <w:b/>
          <w:sz w:val="24"/>
          <w:szCs w:val="24"/>
        </w:rPr>
        <w:t>Materials and methods:</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sz w:val="24"/>
          <w:szCs w:val="24"/>
        </w:rPr>
      </w:pPr>
      <w:r w:rsidRPr="00235B28">
        <w:rPr>
          <w:rFonts w:ascii="Times New Roman" w:eastAsia="Times New Roman" w:hAnsi="Times New Roman" w:cs="Times New Roman"/>
          <w:b/>
          <w:color w:val="000000"/>
          <w:sz w:val="24"/>
          <w:szCs w:val="24"/>
        </w:rPr>
        <w:t>Study Design and Setting</w:t>
      </w:r>
      <w:r w:rsidRPr="00235B28">
        <w:rPr>
          <w:rFonts w:ascii="Times New Roman" w:eastAsia="Times New Roman" w:hAnsi="Times New Roman" w:cs="Times New Roman"/>
          <w:color w:val="000000"/>
          <w:sz w:val="24"/>
          <w:szCs w:val="24"/>
        </w:rPr>
        <w:t xml:space="preserve">: </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sz w:val="24"/>
          <w:szCs w:val="24"/>
        </w:rPr>
      </w:pPr>
      <w:r w:rsidRPr="00235B28">
        <w:rPr>
          <w:rFonts w:ascii="Times New Roman" w:eastAsia="Times New Roman" w:hAnsi="Times New Roman" w:cs="Times New Roman"/>
          <w:color w:val="000000"/>
          <w:sz w:val="24"/>
          <w:szCs w:val="24"/>
        </w:rPr>
        <w:t>Our study was a prospective observational study that was conducted at the Department of Cardiology at BSMMU from October 2020 to September 2021 after receiving approval from the Institutional Review Board (IRB)</w:t>
      </w:r>
      <w:r w:rsidRPr="00235B28">
        <w:rPr>
          <w:rFonts w:ascii="Times New Roman" w:eastAsia="Times New Roman" w:hAnsi="Times New Roman" w:cs="Times New Roman"/>
          <w:sz w:val="24"/>
          <w:szCs w:val="24"/>
        </w:rPr>
        <w:t>.</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sz w:val="24"/>
          <w:szCs w:val="24"/>
        </w:rPr>
      </w:pPr>
      <w:r w:rsidRPr="00235B28">
        <w:rPr>
          <w:rFonts w:ascii="Times New Roman" w:eastAsia="Times New Roman" w:hAnsi="Times New Roman" w:cs="Times New Roman"/>
          <w:b/>
          <w:color w:val="000000"/>
          <w:sz w:val="24"/>
          <w:szCs w:val="24"/>
        </w:rPr>
        <w:t>Sample size and population:</w:t>
      </w:r>
      <w:r w:rsidRPr="00235B28">
        <w:rPr>
          <w:rFonts w:ascii="Times New Roman" w:eastAsia="Times New Roman" w:hAnsi="Times New Roman" w:cs="Times New Roman"/>
          <w:color w:val="000000"/>
          <w:sz w:val="24"/>
          <w:szCs w:val="24"/>
        </w:rPr>
        <w:t xml:space="preserve"> </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sz w:val="24"/>
          <w:szCs w:val="24"/>
        </w:rPr>
      </w:pPr>
      <w:r w:rsidRPr="00235B28">
        <w:rPr>
          <w:rFonts w:ascii="Times New Roman" w:eastAsia="Times New Roman" w:hAnsi="Times New Roman" w:cs="Times New Roman"/>
          <w:color w:val="000000"/>
          <w:sz w:val="24"/>
          <w:szCs w:val="24"/>
        </w:rPr>
        <w:t xml:space="preserve">The sample size was predetermined to be 54 using an appropriate formula for comparative study. </w:t>
      </w:r>
      <w:r w:rsidRPr="00235B28">
        <w:rPr>
          <w:rFonts w:ascii="Times New Roman" w:eastAsia="Gungsuh" w:hAnsi="Times New Roman" w:cs="Times New Roman"/>
          <w:color w:val="000000"/>
          <w:sz w:val="24"/>
          <w:szCs w:val="24"/>
        </w:rPr>
        <w:t xml:space="preserve">Enrollment involved STEMI patients who were admitted within the first 12 hours of symptom onset. STEMI was defined clinically as chest pain lasting &gt;20 minutes, ECG evidence of ST elevation &gt;1mm in &gt;2 contiguous leads, or presumably new LBBB or true Posterior MI with ST depression of &gt;1mm in &gt;2 contiguous anterior leads V1-V3 with a positive terminal T wave. Posterior MI was further confirmed by concomitant ST-segment elevation ≥ 0.5 mm recorded in leads V7–V9. </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b/>
          <w:sz w:val="24"/>
          <w:szCs w:val="24"/>
        </w:rPr>
      </w:pPr>
      <w:r w:rsidRPr="00235B28">
        <w:rPr>
          <w:rFonts w:ascii="Times New Roman" w:eastAsia="Times New Roman" w:hAnsi="Times New Roman" w:cs="Times New Roman"/>
          <w:b/>
          <w:color w:val="000000"/>
          <w:sz w:val="24"/>
          <w:szCs w:val="24"/>
        </w:rPr>
        <w:t xml:space="preserve">Data collection: </w:t>
      </w:r>
    </w:p>
    <w:p w:rsidR="00C97571" w:rsidRPr="00235B28" w:rsidRDefault="00235B28" w:rsidP="00235B28">
      <w:pPr>
        <w:pStyle w:val="normal0"/>
        <w:widowControl w:val="0"/>
        <w:spacing w:before="604" w:line="360" w:lineRule="auto"/>
        <w:ind w:left="30" w:right="116" w:firstLine="3"/>
        <w:jc w:val="both"/>
        <w:rPr>
          <w:rFonts w:ascii="Times New Roman" w:eastAsia="Times New Roman" w:hAnsi="Times New Roman" w:cs="Times New Roman"/>
          <w:color w:val="000000"/>
          <w:sz w:val="24"/>
          <w:szCs w:val="24"/>
        </w:rPr>
      </w:pPr>
      <w:r w:rsidRPr="00235B28">
        <w:rPr>
          <w:rFonts w:ascii="Times New Roman" w:eastAsia="Times New Roman" w:hAnsi="Times New Roman" w:cs="Times New Roman"/>
          <w:color w:val="000000"/>
          <w:sz w:val="24"/>
          <w:szCs w:val="24"/>
        </w:rPr>
        <w:t xml:space="preserve">The purpose of the study was thoroughly explained to each participant and informed written consent was obtained. Detailed demographic information, risk factors, and clinical history were recorded. Various diagnostic measures, including 12-lead ECG, </w:t>
      </w:r>
      <w:proofErr w:type="spellStart"/>
      <w:r w:rsidRPr="00235B28">
        <w:rPr>
          <w:rFonts w:ascii="Times New Roman" w:eastAsia="Times New Roman" w:hAnsi="Times New Roman" w:cs="Times New Roman"/>
          <w:color w:val="000000"/>
          <w:sz w:val="24"/>
          <w:szCs w:val="24"/>
        </w:rPr>
        <w:t>Troponin</w:t>
      </w:r>
      <w:proofErr w:type="spellEnd"/>
      <w:r w:rsidRPr="00235B28">
        <w:rPr>
          <w:rFonts w:ascii="Times New Roman" w:eastAsia="Times New Roman" w:hAnsi="Times New Roman" w:cs="Times New Roman"/>
          <w:color w:val="000000"/>
          <w:sz w:val="24"/>
          <w:szCs w:val="24"/>
        </w:rPr>
        <w:t xml:space="preserve"> I, CK-MB, serum </w:t>
      </w:r>
      <w:proofErr w:type="spellStart"/>
      <w:r w:rsidRPr="00235B28">
        <w:rPr>
          <w:rFonts w:ascii="Times New Roman" w:eastAsia="Times New Roman" w:hAnsi="Times New Roman" w:cs="Times New Roman"/>
          <w:color w:val="000000"/>
          <w:sz w:val="24"/>
          <w:szCs w:val="24"/>
        </w:rPr>
        <w:t>creatinine</w:t>
      </w:r>
      <w:proofErr w:type="spellEnd"/>
      <w:r w:rsidRPr="00235B28">
        <w:rPr>
          <w:rFonts w:ascii="Times New Roman" w:eastAsia="Times New Roman" w:hAnsi="Times New Roman" w:cs="Times New Roman"/>
          <w:color w:val="000000"/>
          <w:sz w:val="24"/>
          <w:szCs w:val="24"/>
        </w:rPr>
        <w:t xml:space="preserve">, serum </w:t>
      </w:r>
      <w:proofErr w:type="spellStart"/>
      <w:r w:rsidRPr="00235B28">
        <w:rPr>
          <w:rFonts w:ascii="Times New Roman" w:eastAsia="Times New Roman" w:hAnsi="Times New Roman" w:cs="Times New Roman"/>
          <w:color w:val="000000"/>
          <w:sz w:val="24"/>
          <w:szCs w:val="24"/>
        </w:rPr>
        <w:t>procalcitonin</w:t>
      </w:r>
      <w:proofErr w:type="spellEnd"/>
      <w:r w:rsidRPr="00235B28">
        <w:rPr>
          <w:rFonts w:ascii="Times New Roman" w:eastAsia="Times New Roman" w:hAnsi="Times New Roman" w:cs="Times New Roman"/>
          <w:color w:val="000000"/>
          <w:sz w:val="24"/>
          <w:szCs w:val="24"/>
        </w:rPr>
        <w:t xml:space="preserve">, HbA1c, and echocardiography, were conducted during the enrollment. Blood samples, collected aseptically, underwent biochemical investigations, including the measurement of </w:t>
      </w:r>
      <w:proofErr w:type="spellStart"/>
      <w:r w:rsidRPr="00235B28">
        <w:rPr>
          <w:rFonts w:ascii="Times New Roman" w:eastAsia="Times New Roman" w:hAnsi="Times New Roman" w:cs="Times New Roman"/>
          <w:color w:val="000000"/>
          <w:sz w:val="24"/>
          <w:szCs w:val="24"/>
        </w:rPr>
        <w:t>procalcitonin</w:t>
      </w:r>
      <w:proofErr w:type="spellEnd"/>
      <w:r w:rsidRPr="00235B28">
        <w:rPr>
          <w:rFonts w:ascii="Times New Roman" w:eastAsia="Times New Roman" w:hAnsi="Times New Roman" w:cs="Times New Roman"/>
          <w:color w:val="000000"/>
          <w:sz w:val="24"/>
          <w:szCs w:val="24"/>
        </w:rPr>
        <w:t xml:space="preserve"> using LIAISON BRAHMS PCT II GEN assay with </w:t>
      </w:r>
      <w:proofErr w:type="spellStart"/>
      <w:r w:rsidRPr="00235B28">
        <w:rPr>
          <w:rFonts w:ascii="Times New Roman" w:eastAsia="Times New Roman" w:hAnsi="Times New Roman" w:cs="Times New Roman"/>
          <w:color w:val="000000"/>
          <w:sz w:val="24"/>
          <w:szCs w:val="24"/>
        </w:rPr>
        <w:lastRenderedPageBreak/>
        <w:t>chemiluminescence</w:t>
      </w:r>
      <w:proofErr w:type="spellEnd"/>
      <w:r w:rsidRPr="00235B28">
        <w:rPr>
          <w:rFonts w:ascii="Times New Roman" w:eastAsia="Times New Roman" w:hAnsi="Times New Roman" w:cs="Times New Roman"/>
          <w:color w:val="000000"/>
          <w:sz w:val="24"/>
          <w:szCs w:val="24"/>
        </w:rPr>
        <w:t xml:space="preserve"> immunoassay (CLIA) technology. The study employed rigorous procedures to ensure data integrity and quality throughout the process.</w:t>
      </w:r>
    </w:p>
    <w:p w:rsidR="00C97571" w:rsidRPr="00235B28" w:rsidRDefault="00235B28" w:rsidP="00235B28">
      <w:pPr>
        <w:pStyle w:val="Heading3"/>
        <w:spacing w:line="360" w:lineRule="auto"/>
        <w:rPr>
          <w:rFonts w:ascii="Times New Roman" w:eastAsia="Times New Roman" w:hAnsi="Times New Roman" w:cs="Times New Roman"/>
          <w:b/>
          <w:color w:val="000000"/>
          <w:sz w:val="24"/>
          <w:szCs w:val="24"/>
        </w:rPr>
      </w:pPr>
      <w:bookmarkStart w:id="3" w:name="_vbwz6jicirab" w:colFirst="0" w:colLast="0"/>
      <w:bookmarkEnd w:id="3"/>
      <w:r w:rsidRPr="00235B28">
        <w:rPr>
          <w:rFonts w:ascii="Times New Roman" w:eastAsia="Times New Roman" w:hAnsi="Times New Roman" w:cs="Times New Roman"/>
          <w:b/>
          <w:color w:val="000000"/>
          <w:sz w:val="24"/>
          <w:szCs w:val="24"/>
        </w:rPr>
        <w:t xml:space="preserve">Statistical analysis: </w:t>
      </w:r>
    </w:p>
    <w:p w:rsidR="00C97571" w:rsidRPr="00235B28" w:rsidRDefault="00235B28" w:rsidP="00235B28">
      <w:pPr>
        <w:pStyle w:val="Heading3"/>
        <w:spacing w:line="360" w:lineRule="auto"/>
        <w:rPr>
          <w:rFonts w:ascii="Times New Roman" w:eastAsia="Times New Roman" w:hAnsi="Times New Roman" w:cs="Times New Roman"/>
          <w:sz w:val="24"/>
          <w:szCs w:val="24"/>
        </w:rPr>
      </w:pPr>
      <w:bookmarkStart w:id="4" w:name="_4nymgahw4y89" w:colFirst="0" w:colLast="0"/>
      <w:bookmarkEnd w:id="4"/>
      <w:r w:rsidRPr="00235B28">
        <w:rPr>
          <w:rFonts w:ascii="Times New Roman" w:eastAsia="Times New Roman" w:hAnsi="Times New Roman" w:cs="Times New Roman"/>
          <w:sz w:val="24"/>
          <w:szCs w:val="24"/>
        </w:rPr>
        <w:t xml:space="preserve">Statistical analyses of the study were planned and reviewed by the investigators and guide.  Following data editing, statistical analysis was conducted using the Statistical Package for Social Science (SPSS) version 25.0 for Windows. Numerical data were presented as mean with standard deviation (SD) and assessed using the Student's t-test. Categorical data were expressed as frequencies and percentages, and the Chi-Square test was employed for analysis. To identify independent predictors of Major Adverse </w:t>
      </w:r>
      <w:proofErr w:type="spellStart"/>
      <w:r w:rsidRPr="00235B28">
        <w:rPr>
          <w:rFonts w:ascii="Times New Roman" w:eastAsia="Times New Roman" w:hAnsi="Times New Roman" w:cs="Times New Roman"/>
          <w:sz w:val="24"/>
          <w:szCs w:val="24"/>
        </w:rPr>
        <w:t>Cerebrovascular</w:t>
      </w:r>
      <w:proofErr w:type="spellEnd"/>
      <w:r w:rsidRPr="00235B28">
        <w:rPr>
          <w:rFonts w:ascii="Times New Roman" w:eastAsia="Times New Roman" w:hAnsi="Times New Roman" w:cs="Times New Roman"/>
          <w:sz w:val="24"/>
          <w:szCs w:val="24"/>
        </w:rPr>
        <w:t xml:space="preserve"> Events (MACE), both </w:t>
      </w:r>
      <w:proofErr w:type="spellStart"/>
      <w:r w:rsidRPr="00235B28">
        <w:rPr>
          <w:rFonts w:ascii="Times New Roman" w:eastAsia="Times New Roman" w:hAnsi="Times New Roman" w:cs="Times New Roman"/>
          <w:sz w:val="24"/>
          <w:szCs w:val="24"/>
        </w:rPr>
        <w:t>univariate</w:t>
      </w:r>
      <w:proofErr w:type="spellEnd"/>
      <w:r w:rsidRPr="00235B28">
        <w:rPr>
          <w:rFonts w:ascii="Times New Roman" w:eastAsia="Times New Roman" w:hAnsi="Times New Roman" w:cs="Times New Roman"/>
          <w:sz w:val="24"/>
          <w:szCs w:val="24"/>
        </w:rPr>
        <w:t xml:space="preserve"> and multivariate logistic regression analyses were employed. A significance level of p &lt; 0.05 was considered statistically significant.</w:t>
      </w:r>
    </w:p>
    <w:p w:rsidR="00C97571" w:rsidRPr="00235B28" w:rsidRDefault="00235B28" w:rsidP="00235B28">
      <w:pPr>
        <w:pStyle w:val="Heading2"/>
        <w:spacing w:line="360" w:lineRule="auto"/>
        <w:rPr>
          <w:rFonts w:ascii="Times New Roman" w:eastAsia="Times New Roman" w:hAnsi="Times New Roman" w:cs="Times New Roman"/>
          <w:b/>
          <w:sz w:val="24"/>
          <w:szCs w:val="24"/>
        </w:rPr>
      </w:pPr>
      <w:bookmarkStart w:id="5" w:name="_foj3b8hstrw5" w:colFirst="0" w:colLast="0"/>
      <w:bookmarkEnd w:id="5"/>
      <w:r w:rsidRPr="00235B28">
        <w:rPr>
          <w:rFonts w:ascii="Times New Roman" w:eastAsia="Times New Roman" w:hAnsi="Times New Roman" w:cs="Times New Roman"/>
          <w:b/>
          <w:sz w:val="24"/>
          <w:szCs w:val="24"/>
        </w:rPr>
        <w:t>Results:</w:t>
      </w: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Table 1:  Distribution of MACCE according to admission PCT </w:t>
      </w:r>
    </w:p>
    <w:p w:rsidR="00C97571" w:rsidRPr="00235B28" w:rsidRDefault="00C97571" w:rsidP="00235B28">
      <w:pPr>
        <w:pStyle w:val="normal0"/>
        <w:spacing w:line="360" w:lineRule="auto"/>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70"/>
        <w:gridCol w:w="2415"/>
        <w:gridCol w:w="2505"/>
        <w:gridCol w:w="1770"/>
      </w:tblGrid>
      <w:tr w:rsidR="00C97571" w:rsidRPr="00235B28">
        <w:trPr>
          <w:cantSplit/>
          <w:trHeight w:val="440"/>
          <w:tblHeader/>
        </w:trPr>
        <w:tc>
          <w:tcPr>
            <w:tcW w:w="2670" w:type="dxa"/>
            <w:vMerge w:val="restart"/>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MACCE Status</w:t>
            </w:r>
          </w:p>
        </w:tc>
        <w:tc>
          <w:tcPr>
            <w:tcW w:w="241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Group 1 (n=27)</w:t>
            </w:r>
          </w:p>
        </w:tc>
        <w:tc>
          <w:tcPr>
            <w:tcW w:w="25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Group 2 (n=27)</w:t>
            </w:r>
          </w:p>
        </w:tc>
        <w:tc>
          <w:tcPr>
            <w:tcW w:w="1770" w:type="dxa"/>
            <w:vMerge w:val="restart"/>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P value</w:t>
            </w:r>
          </w:p>
        </w:tc>
      </w:tr>
      <w:tr w:rsidR="00C97571" w:rsidRPr="00235B28">
        <w:trPr>
          <w:cantSplit/>
          <w:trHeight w:val="440"/>
          <w:tblHeader/>
        </w:trPr>
        <w:tc>
          <w:tcPr>
            <w:tcW w:w="2670" w:type="dxa"/>
            <w:vMerge/>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41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Low PCT</w:t>
            </w:r>
          </w:p>
        </w:tc>
        <w:tc>
          <w:tcPr>
            <w:tcW w:w="25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High PCT</w:t>
            </w:r>
          </w:p>
        </w:tc>
        <w:tc>
          <w:tcPr>
            <w:tcW w:w="1770" w:type="dxa"/>
            <w:vMerge/>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C97571" w:rsidRPr="00235B28">
        <w:trPr>
          <w:cantSplit/>
          <w:trHeight w:val="440"/>
          <w:tblHeader/>
        </w:trPr>
        <w:tc>
          <w:tcPr>
            <w:tcW w:w="26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MACCE </w:t>
            </w:r>
            <w:proofErr w:type="gramStart"/>
            <w:r w:rsidRPr="00235B28">
              <w:rPr>
                <w:rFonts w:ascii="Times New Roman" w:eastAsia="Times New Roman" w:hAnsi="Times New Roman" w:cs="Times New Roman"/>
                <w:sz w:val="24"/>
                <w:szCs w:val="24"/>
              </w:rPr>
              <w:t>n(</w:t>
            </w:r>
            <w:proofErr w:type="gramEnd"/>
            <w:r w:rsidRPr="00235B28">
              <w:rPr>
                <w:rFonts w:ascii="Times New Roman" w:eastAsia="Times New Roman" w:hAnsi="Times New Roman" w:cs="Times New Roman"/>
                <w:sz w:val="24"/>
                <w:szCs w:val="24"/>
              </w:rPr>
              <w:t>%)</w:t>
            </w:r>
          </w:p>
        </w:tc>
        <w:tc>
          <w:tcPr>
            <w:tcW w:w="241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24 (54.5)</w:t>
            </w:r>
          </w:p>
        </w:tc>
        <w:tc>
          <w:tcPr>
            <w:tcW w:w="25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20 (45.5)</w:t>
            </w:r>
          </w:p>
        </w:tc>
        <w:tc>
          <w:tcPr>
            <w:tcW w:w="1770" w:type="dxa"/>
            <w:vMerge w:val="restart"/>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0.038</w:t>
            </w:r>
          </w:p>
        </w:tc>
      </w:tr>
      <w:tr w:rsidR="00C97571" w:rsidRPr="00235B28">
        <w:trPr>
          <w:cantSplit/>
          <w:trHeight w:val="440"/>
          <w:tblHeader/>
        </w:trPr>
        <w:tc>
          <w:tcPr>
            <w:tcW w:w="26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Non MACCE </w:t>
            </w:r>
            <w:proofErr w:type="gramStart"/>
            <w:r w:rsidRPr="00235B28">
              <w:rPr>
                <w:rFonts w:ascii="Times New Roman" w:eastAsia="Times New Roman" w:hAnsi="Times New Roman" w:cs="Times New Roman"/>
                <w:sz w:val="24"/>
                <w:szCs w:val="24"/>
              </w:rPr>
              <w:t>n(</w:t>
            </w:r>
            <w:proofErr w:type="gramEnd"/>
            <w:r w:rsidRPr="00235B28">
              <w:rPr>
                <w:rFonts w:ascii="Times New Roman" w:eastAsia="Times New Roman" w:hAnsi="Times New Roman" w:cs="Times New Roman"/>
                <w:sz w:val="24"/>
                <w:szCs w:val="24"/>
              </w:rPr>
              <w:t>%)</w:t>
            </w:r>
          </w:p>
        </w:tc>
        <w:tc>
          <w:tcPr>
            <w:tcW w:w="241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3 (30)</w:t>
            </w:r>
          </w:p>
        </w:tc>
        <w:tc>
          <w:tcPr>
            <w:tcW w:w="25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7 (70)</w:t>
            </w:r>
          </w:p>
        </w:tc>
        <w:tc>
          <w:tcPr>
            <w:tcW w:w="1770" w:type="dxa"/>
            <w:vMerge/>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bl>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In Table 1, MACCE was evident in 3 patients in the low PCT group and 7 patients in the high PCT group, with a significant P-value of 0.038 from the chi-square test.</w:t>
      </w:r>
    </w:p>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Table 2: Association of plasma </w:t>
      </w:r>
      <w:proofErr w:type="spellStart"/>
      <w:r w:rsidRPr="00235B28">
        <w:rPr>
          <w:rFonts w:ascii="Times New Roman" w:eastAsia="Times New Roman" w:hAnsi="Times New Roman" w:cs="Times New Roman"/>
          <w:sz w:val="24"/>
          <w:szCs w:val="24"/>
        </w:rPr>
        <w:t>procalcitonin</w:t>
      </w:r>
      <w:proofErr w:type="spellEnd"/>
      <w:r w:rsidRPr="00235B28">
        <w:rPr>
          <w:rFonts w:ascii="Times New Roman" w:eastAsia="Times New Roman" w:hAnsi="Times New Roman" w:cs="Times New Roman"/>
          <w:sz w:val="24"/>
          <w:szCs w:val="24"/>
        </w:rPr>
        <w:t xml:space="preserve"> with the onset of MACCE through </w:t>
      </w:r>
      <w:proofErr w:type="spellStart"/>
      <w:r w:rsidRPr="00235B28">
        <w:rPr>
          <w:rFonts w:ascii="Times New Roman" w:eastAsia="Times New Roman" w:hAnsi="Times New Roman" w:cs="Times New Roman"/>
          <w:sz w:val="24"/>
          <w:szCs w:val="24"/>
        </w:rPr>
        <w:t>univariate</w:t>
      </w:r>
      <w:proofErr w:type="spellEnd"/>
      <w:r w:rsidRPr="00235B28">
        <w:rPr>
          <w:rFonts w:ascii="Times New Roman" w:eastAsia="Times New Roman" w:hAnsi="Times New Roman" w:cs="Times New Roman"/>
          <w:sz w:val="24"/>
          <w:szCs w:val="24"/>
        </w:rPr>
        <w:t xml:space="preserve"> &amp;</w:t>
      </w: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gramStart"/>
      <w:r w:rsidRPr="00235B28">
        <w:rPr>
          <w:rFonts w:ascii="Times New Roman" w:eastAsia="Times New Roman" w:hAnsi="Times New Roman" w:cs="Times New Roman"/>
          <w:sz w:val="24"/>
          <w:szCs w:val="24"/>
        </w:rPr>
        <w:t>multivariate</w:t>
      </w:r>
      <w:proofErr w:type="gramEnd"/>
      <w:r w:rsidRPr="00235B28">
        <w:rPr>
          <w:rFonts w:ascii="Times New Roman" w:eastAsia="Times New Roman" w:hAnsi="Times New Roman" w:cs="Times New Roman"/>
          <w:sz w:val="24"/>
          <w:szCs w:val="24"/>
        </w:rPr>
        <w:t xml:space="preserve"> logistic regression analysis </w:t>
      </w:r>
    </w:p>
    <w:p w:rsidR="00C97571" w:rsidRPr="00235B28" w:rsidRDefault="00C97571" w:rsidP="00235B28">
      <w:pPr>
        <w:pStyle w:val="normal0"/>
        <w:spacing w:line="360" w:lineRule="auto"/>
        <w:rPr>
          <w:rFonts w:ascii="Times New Roman" w:eastAsia="Times New Roman" w:hAnsi="Times New Roman" w:cs="Times New Roman"/>
          <w:sz w:val="24"/>
          <w:szCs w:val="24"/>
        </w:rPr>
      </w:pPr>
    </w:p>
    <w:tbl>
      <w:tblPr>
        <w:tblStyle w:val="a0"/>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20"/>
        <w:gridCol w:w="1170"/>
        <w:gridCol w:w="1545"/>
        <w:gridCol w:w="1005"/>
        <w:gridCol w:w="1155"/>
        <w:gridCol w:w="1545"/>
        <w:gridCol w:w="1200"/>
      </w:tblGrid>
      <w:tr w:rsidR="00C97571" w:rsidRPr="00235B28">
        <w:trPr>
          <w:cantSplit/>
          <w:trHeight w:val="440"/>
          <w:tblHeader/>
        </w:trPr>
        <w:tc>
          <w:tcPr>
            <w:tcW w:w="162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3720" w:type="dxa"/>
            <w:gridSpan w:val="3"/>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Univariate</w:t>
            </w:r>
            <w:proofErr w:type="spellEnd"/>
          </w:p>
        </w:tc>
        <w:tc>
          <w:tcPr>
            <w:tcW w:w="3900" w:type="dxa"/>
            <w:gridSpan w:val="3"/>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vertAlign w:val="superscript"/>
              </w:rPr>
            </w:pPr>
            <w:proofErr w:type="spellStart"/>
            <w:r w:rsidRPr="00235B28">
              <w:rPr>
                <w:rFonts w:ascii="Times New Roman" w:eastAsia="Times New Roman" w:hAnsi="Times New Roman" w:cs="Times New Roman"/>
                <w:sz w:val="24"/>
                <w:szCs w:val="24"/>
              </w:rPr>
              <w:t>Multivariate</w:t>
            </w:r>
            <w:r w:rsidRPr="00235B28">
              <w:rPr>
                <w:rFonts w:ascii="Times New Roman" w:eastAsia="Times New Roman" w:hAnsi="Times New Roman" w:cs="Times New Roman"/>
                <w:sz w:val="24"/>
                <w:szCs w:val="24"/>
                <w:vertAlign w:val="superscript"/>
              </w:rPr>
              <w:t>b</w:t>
            </w:r>
            <w:proofErr w:type="spellEnd"/>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Odds Ratio</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vertAlign w:val="superscript"/>
              </w:rPr>
            </w:pPr>
            <w:r w:rsidRPr="00235B28">
              <w:rPr>
                <w:rFonts w:ascii="Times New Roman" w:eastAsia="Times New Roman" w:hAnsi="Times New Roman" w:cs="Times New Roman"/>
                <w:sz w:val="24"/>
                <w:szCs w:val="24"/>
              </w:rPr>
              <w:t xml:space="preserve">95% </w:t>
            </w:r>
            <w:proofErr w:type="spellStart"/>
            <w:r w:rsidRPr="00235B28">
              <w:rPr>
                <w:rFonts w:ascii="Times New Roman" w:eastAsia="Times New Roman" w:hAnsi="Times New Roman" w:cs="Times New Roman"/>
                <w:sz w:val="24"/>
                <w:szCs w:val="24"/>
              </w:rPr>
              <w:t>CI</w:t>
            </w:r>
            <w:r w:rsidRPr="00235B28">
              <w:rPr>
                <w:rFonts w:ascii="Times New Roman" w:eastAsia="Times New Roman" w:hAnsi="Times New Roman" w:cs="Times New Roman"/>
                <w:sz w:val="24"/>
                <w:szCs w:val="24"/>
                <w:vertAlign w:val="superscript"/>
              </w:rPr>
              <w:t>a</w:t>
            </w:r>
            <w:proofErr w:type="spellEnd"/>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P value</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Adjusted Odds Ratio</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95% CI</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P value</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Age </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1.171</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0.874-2.745</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0.762</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1.065</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0.649-1.928</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0.819</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Gender</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0.723</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0.308 - 1.837</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0.981</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0.638</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0.482 - 1.742</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0.762 </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vertAlign w:val="superscript"/>
              </w:rPr>
            </w:pPr>
            <w:proofErr w:type="spellStart"/>
            <w:r w:rsidRPr="00235B28">
              <w:rPr>
                <w:rFonts w:ascii="Times New Roman" w:eastAsia="Times New Roman" w:hAnsi="Times New Roman" w:cs="Times New Roman"/>
                <w:sz w:val="24"/>
                <w:szCs w:val="24"/>
              </w:rPr>
              <w:t>BMI</w:t>
            </w:r>
            <w:r w:rsidRPr="00235B28">
              <w:rPr>
                <w:rFonts w:ascii="Times New Roman" w:eastAsia="Times New Roman" w:hAnsi="Times New Roman" w:cs="Times New Roman"/>
                <w:sz w:val="24"/>
                <w:szCs w:val="24"/>
                <w:vertAlign w:val="superscript"/>
              </w:rPr>
              <w:t>a</w:t>
            </w:r>
            <w:proofErr w:type="spellEnd"/>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spacing w:before="98" w:line="360" w:lineRule="auto"/>
              <w:ind w:left="31" w:right="244"/>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1.420 </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before="98" w:line="360" w:lineRule="auto"/>
              <w:ind w:right="162" w:hanging="30"/>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1.021-3.264 </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before="98" w:line="360" w:lineRule="auto"/>
              <w:ind w:right="244"/>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0.034</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before="98" w:line="360" w:lineRule="auto"/>
              <w:ind w:left="31" w:right="244"/>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1.099</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spacing w:before="98" w:line="360" w:lineRule="auto"/>
              <w:ind w:left="-90" w:right="244"/>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0.819-2.532</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0.468</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Smoker</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2.180</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0.949-3.146</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0.485</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1.843</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0.842-2.946</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0.655</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HTN</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1.923</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ind w:left="90"/>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0.824-2.860</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0.357</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1.645</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0.698-2.510</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0.467</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DM</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2.415</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1.249-3.228</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2.089</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1.054-2.678</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Dyslipidemia</w:t>
            </w:r>
            <w:proofErr w:type="spellEnd"/>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3.142</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1.098-5.024</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2.564</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0.956-4.662</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0.068</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Family History</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1.185</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0.894-2.210</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0.339</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0.841</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0.688-1.658</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0.384</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Troponin</w:t>
            </w:r>
            <w:proofErr w:type="spellEnd"/>
            <w:r w:rsidRPr="00235B28">
              <w:rPr>
                <w:rFonts w:ascii="Times New Roman" w:eastAsia="Times New Roman" w:hAnsi="Times New Roman" w:cs="Times New Roman"/>
                <w:sz w:val="24"/>
                <w:szCs w:val="24"/>
              </w:rPr>
              <w:t xml:space="preserve"> I</w:t>
            </w:r>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0.292</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0.081-1.829</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0.519</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0.189</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0.041-1.015</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0.954</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Procalcitonin</w:t>
            </w:r>
            <w:proofErr w:type="spellEnd"/>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4.541</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2.119-6.521</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3.475</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1.962-5.546</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vertAlign w:val="superscript"/>
              </w:rPr>
            </w:pPr>
            <w:proofErr w:type="spellStart"/>
            <w:r w:rsidRPr="00235B28">
              <w:rPr>
                <w:rFonts w:ascii="Times New Roman" w:eastAsia="Times New Roman" w:hAnsi="Times New Roman" w:cs="Times New Roman"/>
                <w:sz w:val="24"/>
                <w:szCs w:val="24"/>
              </w:rPr>
              <w:t>LVEF</w:t>
            </w:r>
            <w:r w:rsidRPr="00235B28">
              <w:rPr>
                <w:rFonts w:ascii="Times New Roman" w:eastAsia="Times New Roman" w:hAnsi="Times New Roman" w:cs="Times New Roman"/>
                <w:sz w:val="24"/>
                <w:szCs w:val="24"/>
                <w:vertAlign w:val="superscript"/>
              </w:rPr>
              <w:t>a</w:t>
            </w:r>
            <w:proofErr w:type="spellEnd"/>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3.689</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1.056-4.969</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0.026</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2.958</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1.01- 3.412</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0.034</w:t>
            </w:r>
          </w:p>
        </w:tc>
      </w:tr>
      <w:tr w:rsidR="00C97571" w:rsidRPr="00235B28">
        <w:trPr>
          <w:cantSplit/>
          <w:tblHeader/>
        </w:trPr>
        <w:tc>
          <w:tcPr>
            <w:tcW w:w="162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vertAlign w:val="superscript"/>
              </w:rPr>
            </w:pPr>
            <w:proofErr w:type="spellStart"/>
            <w:r w:rsidRPr="00235B28">
              <w:rPr>
                <w:rFonts w:ascii="Times New Roman" w:eastAsia="Times New Roman" w:hAnsi="Times New Roman" w:cs="Times New Roman"/>
                <w:sz w:val="24"/>
                <w:szCs w:val="24"/>
              </w:rPr>
              <w:t>CRP</w:t>
            </w:r>
            <w:r w:rsidRPr="00235B28">
              <w:rPr>
                <w:rFonts w:ascii="Times New Roman" w:eastAsia="Times New Roman" w:hAnsi="Times New Roman" w:cs="Times New Roman"/>
                <w:sz w:val="24"/>
                <w:szCs w:val="24"/>
                <w:vertAlign w:val="superscript"/>
              </w:rPr>
              <w:t>a</w:t>
            </w:r>
            <w:proofErr w:type="spellEnd"/>
          </w:p>
        </w:tc>
        <w:tc>
          <w:tcPr>
            <w:tcW w:w="117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1.902</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0.873-3.021</w:t>
            </w:r>
          </w:p>
        </w:tc>
        <w:tc>
          <w:tcPr>
            <w:tcW w:w="10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0.398</w:t>
            </w:r>
          </w:p>
        </w:tc>
        <w:tc>
          <w:tcPr>
            <w:tcW w:w="115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1.428</w:t>
            </w:r>
          </w:p>
        </w:tc>
        <w:tc>
          <w:tcPr>
            <w:tcW w:w="154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0.592- 2.429</w:t>
            </w:r>
          </w:p>
        </w:tc>
        <w:tc>
          <w:tcPr>
            <w:tcW w:w="120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0.867</w:t>
            </w:r>
          </w:p>
        </w:tc>
      </w:tr>
    </w:tbl>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spellStart"/>
      <w:proofErr w:type="gramStart"/>
      <w:r w:rsidRPr="00235B28">
        <w:rPr>
          <w:rFonts w:ascii="Times New Roman" w:eastAsia="Times New Roman" w:hAnsi="Times New Roman" w:cs="Times New Roman"/>
          <w:sz w:val="24"/>
          <w:szCs w:val="24"/>
          <w:vertAlign w:val="superscript"/>
        </w:rPr>
        <w:t>a</w:t>
      </w:r>
      <w:r w:rsidRPr="00235B28">
        <w:rPr>
          <w:rFonts w:ascii="Times New Roman" w:eastAsia="Times New Roman" w:hAnsi="Times New Roman" w:cs="Times New Roman"/>
          <w:sz w:val="24"/>
          <w:szCs w:val="24"/>
        </w:rPr>
        <w:t>CI</w:t>
      </w:r>
      <w:proofErr w:type="spellEnd"/>
      <w:proofErr w:type="gramEnd"/>
      <w:r w:rsidRPr="00235B28">
        <w:rPr>
          <w:rFonts w:ascii="Times New Roman" w:eastAsia="Times New Roman" w:hAnsi="Times New Roman" w:cs="Times New Roman"/>
          <w:sz w:val="24"/>
          <w:szCs w:val="24"/>
        </w:rPr>
        <w:t>: confidence interval; BMI: body mass index; DM: diabetes mellitus; LVEF: Left ventricular ejection fraction; CRP: C reactive protein</w:t>
      </w: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spellStart"/>
      <w:proofErr w:type="gramStart"/>
      <w:r w:rsidRPr="00235B28">
        <w:rPr>
          <w:rFonts w:ascii="Times New Roman" w:eastAsia="Times New Roman" w:hAnsi="Times New Roman" w:cs="Times New Roman"/>
          <w:sz w:val="24"/>
          <w:szCs w:val="24"/>
          <w:vertAlign w:val="superscript"/>
        </w:rPr>
        <w:t>b</w:t>
      </w:r>
      <w:r w:rsidRPr="00235B28">
        <w:rPr>
          <w:rFonts w:ascii="Times New Roman" w:eastAsia="Times New Roman" w:hAnsi="Times New Roman" w:cs="Times New Roman"/>
          <w:sz w:val="24"/>
          <w:szCs w:val="24"/>
        </w:rPr>
        <w:t>Multivariable</w:t>
      </w:r>
      <w:proofErr w:type="spellEnd"/>
      <w:proofErr w:type="gramEnd"/>
      <w:r w:rsidRPr="00235B28">
        <w:rPr>
          <w:rFonts w:ascii="Times New Roman" w:eastAsia="Times New Roman" w:hAnsi="Times New Roman" w:cs="Times New Roman"/>
          <w:sz w:val="24"/>
          <w:szCs w:val="24"/>
        </w:rPr>
        <w:t xml:space="preserve"> adjusted odds ratio were adjusted with rest of the other variables</w:t>
      </w:r>
    </w:p>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lastRenderedPageBreak/>
        <w:t xml:space="preserve">Table 2 shows that higher admission PCT levels pose a higher risk of MACCE (OR: 4.541, 95% CI: 2.119 – 6.521; AOR: 3.475, 95% CI: 1.962 - 5.546), indicating a 3.5 times increased risk per unit PCT increase. Confounders include age, sex, BMI, hypertension, </w:t>
      </w:r>
      <w:proofErr w:type="spellStart"/>
      <w:r w:rsidRPr="00235B28">
        <w:rPr>
          <w:rFonts w:ascii="Times New Roman" w:eastAsia="Times New Roman" w:hAnsi="Times New Roman" w:cs="Times New Roman"/>
          <w:sz w:val="24"/>
          <w:szCs w:val="24"/>
        </w:rPr>
        <w:t>dyslipidemia</w:t>
      </w:r>
      <w:proofErr w:type="spellEnd"/>
      <w:r w:rsidRPr="00235B28">
        <w:rPr>
          <w:rFonts w:ascii="Times New Roman" w:eastAsia="Times New Roman" w:hAnsi="Times New Roman" w:cs="Times New Roman"/>
          <w:sz w:val="24"/>
          <w:szCs w:val="24"/>
        </w:rPr>
        <w:t xml:space="preserve">, smoking, family history, </w:t>
      </w:r>
      <w:proofErr w:type="spellStart"/>
      <w:r w:rsidRPr="00235B28">
        <w:rPr>
          <w:rFonts w:ascii="Times New Roman" w:eastAsia="Times New Roman" w:hAnsi="Times New Roman" w:cs="Times New Roman"/>
          <w:sz w:val="24"/>
          <w:szCs w:val="24"/>
        </w:rPr>
        <w:t>troponin</w:t>
      </w:r>
      <w:proofErr w:type="spellEnd"/>
      <w:r w:rsidRPr="00235B28">
        <w:rPr>
          <w:rFonts w:ascii="Times New Roman" w:eastAsia="Times New Roman" w:hAnsi="Times New Roman" w:cs="Times New Roman"/>
          <w:sz w:val="24"/>
          <w:szCs w:val="24"/>
        </w:rPr>
        <w:t>-I, CRP, and reduced ejection fraction (LVEF&lt;40%).</w:t>
      </w:r>
    </w:p>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 xml:space="preserve">Table 3: Adjusted odds ratio for MACCE considering </w:t>
      </w:r>
      <w:proofErr w:type="spellStart"/>
      <w:r w:rsidRPr="00235B28">
        <w:rPr>
          <w:rFonts w:ascii="Times New Roman" w:eastAsia="Times New Roman" w:hAnsi="Times New Roman" w:cs="Times New Roman"/>
          <w:sz w:val="24"/>
          <w:szCs w:val="24"/>
        </w:rPr>
        <w:t>Procalcitonin</w:t>
      </w:r>
      <w:proofErr w:type="spellEnd"/>
      <w:r w:rsidRPr="00235B28">
        <w:rPr>
          <w:rFonts w:ascii="Times New Roman" w:eastAsia="Times New Roman" w:hAnsi="Times New Roman" w:cs="Times New Roman"/>
          <w:sz w:val="24"/>
          <w:szCs w:val="24"/>
        </w:rPr>
        <w:t>, Treatment</w:t>
      </w: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gramStart"/>
      <w:r w:rsidRPr="00235B28">
        <w:rPr>
          <w:rFonts w:ascii="Times New Roman" w:eastAsia="Times New Roman" w:hAnsi="Times New Roman" w:cs="Times New Roman"/>
          <w:sz w:val="24"/>
          <w:szCs w:val="24"/>
        </w:rPr>
        <w:t>Modalities,</w:t>
      </w:r>
      <w:proofErr w:type="gramEnd"/>
      <w:r w:rsidRPr="00235B28">
        <w:rPr>
          <w:rFonts w:ascii="Times New Roman" w:eastAsia="Times New Roman" w:hAnsi="Times New Roman" w:cs="Times New Roman"/>
          <w:sz w:val="24"/>
          <w:szCs w:val="24"/>
        </w:rPr>
        <w:t xml:space="preserve"> and STEMI Surface involvement</w:t>
      </w:r>
    </w:p>
    <w:p w:rsidR="00C97571" w:rsidRPr="00235B28" w:rsidRDefault="00C97571" w:rsidP="00235B28">
      <w:pPr>
        <w:pStyle w:val="normal0"/>
        <w:spacing w:line="360" w:lineRule="auto"/>
        <w:rPr>
          <w:rFonts w:ascii="Times New Roman" w:eastAsia="Times New Roman" w:hAnsi="Times New Roman" w:cs="Times New Roman"/>
          <w:sz w:val="24"/>
          <w:szCs w:val="24"/>
        </w:rPr>
      </w:pPr>
    </w:p>
    <w:tbl>
      <w:tblPr>
        <w:tblStyle w:val="a1"/>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05"/>
        <w:gridCol w:w="1785"/>
        <w:gridCol w:w="1725"/>
        <w:gridCol w:w="1860"/>
        <w:gridCol w:w="1725"/>
      </w:tblGrid>
      <w:tr w:rsidR="00C97571" w:rsidRPr="00235B28">
        <w:trPr>
          <w:cantSplit/>
          <w:trHeight w:val="440"/>
          <w:tblHeader/>
        </w:trPr>
        <w:tc>
          <w:tcPr>
            <w:tcW w:w="220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7095" w:type="dxa"/>
            <w:gridSpan w:val="4"/>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95% CI</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AOR</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Lower</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Upper</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P value</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Low PCT</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w:t>
            </w: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High PCT</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2.608</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1.337</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7.674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Modalities</w:t>
            </w:r>
          </w:p>
        </w:tc>
        <w:tc>
          <w:tcPr>
            <w:tcW w:w="178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0.991</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Thrombolysis</w:t>
            </w:r>
            <w:proofErr w:type="spellEnd"/>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w:t>
            </w: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roofErr w:type="spellStart"/>
            <w:r w:rsidRPr="00235B28">
              <w:rPr>
                <w:rFonts w:ascii="Times New Roman" w:eastAsia="Times New Roman" w:hAnsi="Times New Roman" w:cs="Times New Roman"/>
                <w:sz w:val="24"/>
                <w:szCs w:val="24"/>
              </w:rPr>
              <w:t>Pharmacoinvasive</w:t>
            </w:r>
            <w:proofErr w:type="spellEnd"/>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0.974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0.155</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6.111</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0.977</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Routine PCI</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0.736</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0.118</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4.615</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0.744</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Medical Management</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0.024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0.001</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1.054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0.999</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Surface</w:t>
            </w:r>
          </w:p>
        </w:tc>
        <w:tc>
          <w:tcPr>
            <w:tcW w:w="178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0.949</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Anterior</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w:t>
            </w: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860"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rsidR="00C97571" w:rsidRPr="00235B28" w:rsidRDefault="00C97571"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Inferior</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0.622</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0.130</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2.967</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0.551</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Lateral</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0.384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0.114</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1.214</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0.954</w:t>
            </w:r>
          </w:p>
        </w:tc>
      </w:tr>
      <w:tr w:rsidR="00C97571" w:rsidRPr="00235B28">
        <w:trPr>
          <w:cantSplit/>
          <w:tblHeader/>
        </w:trPr>
        <w:tc>
          <w:tcPr>
            <w:tcW w:w="220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Posterior</w:t>
            </w:r>
          </w:p>
        </w:tc>
        <w:tc>
          <w:tcPr>
            <w:tcW w:w="178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0.062</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0.021</w:t>
            </w:r>
          </w:p>
        </w:tc>
        <w:tc>
          <w:tcPr>
            <w:tcW w:w="1860"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1.022</w:t>
            </w:r>
          </w:p>
        </w:tc>
        <w:tc>
          <w:tcPr>
            <w:tcW w:w="1725" w:type="dxa"/>
            <w:shd w:val="clear" w:color="auto" w:fill="auto"/>
            <w:tcMar>
              <w:top w:w="100" w:type="dxa"/>
              <w:left w:w="100" w:type="dxa"/>
              <w:bottom w:w="100" w:type="dxa"/>
              <w:right w:w="100" w:type="dxa"/>
            </w:tcMar>
          </w:tcPr>
          <w:p w:rsidR="00C97571" w:rsidRPr="00235B28" w:rsidRDefault="00235B28" w:rsidP="00235B28">
            <w:pPr>
              <w:pStyle w:val="normal0"/>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0.994</w:t>
            </w:r>
          </w:p>
        </w:tc>
      </w:tr>
    </w:tbl>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spellStart"/>
      <w:proofErr w:type="gramStart"/>
      <w:r w:rsidRPr="00235B28">
        <w:rPr>
          <w:rFonts w:ascii="Times New Roman" w:eastAsia="Times New Roman" w:hAnsi="Times New Roman" w:cs="Times New Roman"/>
          <w:sz w:val="24"/>
          <w:szCs w:val="24"/>
          <w:vertAlign w:val="superscript"/>
        </w:rPr>
        <w:lastRenderedPageBreak/>
        <w:t>a</w:t>
      </w:r>
      <w:r w:rsidRPr="00235B28">
        <w:rPr>
          <w:rFonts w:ascii="Times New Roman" w:eastAsia="Times New Roman" w:hAnsi="Times New Roman" w:cs="Times New Roman"/>
          <w:sz w:val="24"/>
          <w:szCs w:val="24"/>
        </w:rPr>
        <w:t>AOR</w:t>
      </w:r>
      <w:proofErr w:type="spellEnd"/>
      <w:proofErr w:type="gramEnd"/>
      <w:r w:rsidRPr="00235B28">
        <w:rPr>
          <w:rFonts w:ascii="Times New Roman" w:eastAsia="Times New Roman" w:hAnsi="Times New Roman" w:cs="Times New Roman"/>
          <w:sz w:val="24"/>
          <w:szCs w:val="24"/>
        </w:rPr>
        <w:t>: adjusted odds ratio</w:t>
      </w:r>
    </w:p>
    <w:p w:rsidR="00C97571" w:rsidRPr="00235B28" w:rsidRDefault="00235B28" w:rsidP="00235B28">
      <w:pPr>
        <w:pStyle w:val="normal0"/>
        <w:spacing w:line="360" w:lineRule="auto"/>
        <w:rPr>
          <w:rFonts w:ascii="Times New Roman" w:eastAsia="Times New Roman" w:hAnsi="Times New Roman" w:cs="Times New Roman"/>
          <w:sz w:val="24"/>
          <w:szCs w:val="24"/>
        </w:rPr>
      </w:pPr>
      <w:proofErr w:type="spellStart"/>
      <w:proofErr w:type="gramStart"/>
      <w:r w:rsidRPr="00235B28">
        <w:rPr>
          <w:rFonts w:ascii="Times New Roman" w:eastAsia="Times New Roman" w:hAnsi="Times New Roman" w:cs="Times New Roman"/>
          <w:sz w:val="24"/>
          <w:szCs w:val="24"/>
          <w:vertAlign w:val="superscript"/>
        </w:rPr>
        <w:t>b</w:t>
      </w:r>
      <w:r w:rsidRPr="00235B28">
        <w:rPr>
          <w:rFonts w:ascii="Times New Roman" w:eastAsia="Times New Roman" w:hAnsi="Times New Roman" w:cs="Times New Roman"/>
          <w:sz w:val="24"/>
          <w:szCs w:val="24"/>
        </w:rPr>
        <w:t>CI</w:t>
      </w:r>
      <w:proofErr w:type="spellEnd"/>
      <w:proofErr w:type="gramEnd"/>
      <w:r w:rsidRPr="00235B28">
        <w:rPr>
          <w:rFonts w:ascii="Times New Roman" w:eastAsia="Times New Roman" w:hAnsi="Times New Roman" w:cs="Times New Roman"/>
          <w:sz w:val="24"/>
          <w:szCs w:val="24"/>
        </w:rPr>
        <w:t>: confidence interval</w:t>
      </w:r>
    </w:p>
    <w:p w:rsidR="00C97571" w:rsidRPr="00235B28" w:rsidRDefault="00C97571" w:rsidP="00235B28">
      <w:pPr>
        <w:pStyle w:val="normal0"/>
        <w:spacing w:line="360" w:lineRule="auto"/>
        <w:rPr>
          <w:rFonts w:ascii="Times New Roman" w:eastAsia="Times New Roman" w:hAnsi="Times New Roman" w:cs="Times New Roman"/>
          <w:sz w:val="24"/>
          <w:szCs w:val="24"/>
        </w:rPr>
      </w:pP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sz w:val="24"/>
          <w:szCs w:val="24"/>
        </w:rPr>
        <w:t>In Table 3, higher admission PCT levels are seen associated with a higher risk of MACE (AOR: 2.608, 95% CI: 1.337-7.674), suggesting a 2.608 times increased risk per unit PCT increase. Confounders include treatment modalities and STEMI surface involvement.</w:t>
      </w:r>
    </w:p>
    <w:p w:rsidR="00C97571" w:rsidRPr="00235B28" w:rsidRDefault="00235B28" w:rsidP="00235B28">
      <w:pPr>
        <w:pStyle w:val="Heading2"/>
        <w:spacing w:line="360" w:lineRule="auto"/>
        <w:rPr>
          <w:rFonts w:ascii="Times New Roman" w:eastAsia="Times New Roman" w:hAnsi="Times New Roman" w:cs="Times New Roman"/>
          <w:b/>
          <w:sz w:val="24"/>
          <w:szCs w:val="24"/>
        </w:rPr>
      </w:pPr>
      <w:bookmarkStart w:id="6" w:name="_jci1rn1cqsh5" w:colFirst="0" w:colLast="0"/>
      <w:bookmarkEnd w:id="6"/>
      <w:r w:rsidRPr="00235B28">
        <w:rPr>
          <w:rFonts w:ascii="Times New Roman" w:eastAsia="Times New Roman" w:hAnsi="Times New Roman" w:cs="Times New Roman"/>
          <w:b/>
          <w:sz w:val="24"/>
          <w:szCs w:val="24"/>
        </w:rPr>
        <w:t>Conclusion:</w:t>
      </w:r>
    </w:p>
    <w:p w:rsidR="00C97571" w:rsidRPr="00235B28" w:rsidRDefault="00235B28" w:rsidP="00235B28">
      <w:pPr>
        <w:pStyle w:val="normal0"/>
        <w:spacing w:line="360" w:lineRule="auto"/>
        <w:rPr>
          <w:rFonts w:ascii="Times New Roman" w:eastAsia="Times New Roman" w:hAnsi="Times New Roman" w:cs="Times New Roman"/>
          <w:sz w:val="24"/>
          <w:szCs w:val="24"/>
        </w:rPr>
      </w:pPr>
      <w:r w:rsidRPr="00235B28">
        <w:rPr>
          <w:rFonts w:ascii="Times New Roman" w:eastAsia="Times New Roman" w:hAnsi="Times New Roman" w:cs="Times New Roman"/>
          <w:color w:val="0D0D0D"/>
          <w:sz w:val="24"/>
          <w:szCs w:val="24"/>
          <w:highlight w:val="white"/>
        </w:rPr>
        <w:t xml:space="preserve">In conclusion, our study highlights a significant association between elevated serum </w:t>
      </w:r>
      <w:proofErr w:type="spellStart"/>
      <w:r w:rsidRPr="00235B28">
        <w:rPr>
          <w:rFonts w:ascii="Times New Roman" w:eastAsia="Times New Roman" w:hAnsi="Times New Roman" w:cs="Times New Roman"/>
          <w:color w:val="0D0D0D"/>
          <w:sz w:val="24"/>
          <w:szCs w:val="24"/>
          <w:highlight w:val="white"/>
        </w:rPr>
        <w:t>procalcitonin</w:t>
      </w:r>
      <w:proofErr w:type="spellEnd"/>
      <w:r w:rsidRPr="00235B28">
        <w:rPr>
          <w:rFonts w:ascii="Times New Roman" w:eastAsia="Times New Roman" w:hAnsi="Times New Roman" w:cs="Times New Roman"/>
          <w:color w:val="0D0D0D"/>
          <w:sz w:val="24"/>
          <w:szCs w:val="24"/>
          <w:highlight w:val="white"/>
        </w:rPr>
        <w:t xml:space="preserve"> (PCT) levels as an increased risk of major adverse cardiac and </w:t>
      </w:r>
      <w:proofErr w:type="spellStart"/>
      <w:r w:rsidRPr="00235B28">
        <w:rPr>
          <w:rFonts w:ascii="Times New Roman" w:eastAsia="Times New Roman" w:hAnsi="Times New Roman" w:cs="Times New Roman"/>
          <w:color w:val="0D0D0D"/>
          <w:sz w:val="24"/>
          <w:szCs w:val="24"/>
          <w:highlight w:val="white"/>
        </w:rPr>
        <w:t>cerebrovascular</w:t>
      </w:r>
      <w:proofErr w:type="spellEnd"/>
      <w:r w:rsidRPr="00235B28">
        <w:rPr>
          <w:rFonts w:ascii="Times New Roman" w:eastAsia="Times New Roman" w:hAnsi="Times New Roman" w:cs="Times New Roman"/>
          <w:color w:val="0D0D0D"/>
          <w:sz w:val="24"/>
          <w:szCs w:val="24"/>
          <w:highlight w:val="white"/>
        </w:rPr>
        <w:t xml:space="preserve"> events (MACCE). This underscores the potential independent predictive value of peripheral PCT concentration for adverse outcomes in STEMI, emphasizing its relevance as a prognostic biomarker. These findings contribute to the understanding of risk stratification in STEMI patients and suggest the utility of serum PCT in predicting poor prognosis.</w:t>
      </w:r>
    </w:p>
    <w:p w:rsidR="00C97571" w:rsidRPr="00235B28" w:rsidRDefault="00C97571" w:rsidP="00EF3555">
      <w:pPr>
        <w:pStyle w:val="normal0"/>
        <w:widowControl w:val="0"/>
        <w:spacing w:line="360" w:lineRule="auto"/>
        <w:rPr>
          <w:rFonts w:ascii="Times New Roman" w:eastAsia="Times New Roman" w:hAnsi="Times New Roman" w:cs="Times New Roman"/>
          <w:sz w:val="24"/>
          <w:szCs w:val="24"/>
        </w:rPr>
      </w:pPr>
      <w:bookmarkStart w:id="7" w:name="_ahg2clrsynmh" w:colFirst="0" w:colLast="0"/>
      <w:bookmarkEnd w:id="7"/>
    </w:p>
    <w:sectPr w:rsidR="00C97571" w:rsidRPr="00235B28" w:rsidSect="00C97571">
      <w:pgSz w:w="12240" w:h="15840"/>
      <w:pgMar w:top="1440" w:right="1440" w:bottom="1440" w:left="135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1F5B"/>
    <w:multiLevelType w:val="multilevel"/>
    <w:tmpl w:val="26969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7571"/>
    <w:rsid w:val="00024770"/>
    <w:rsid w:val="00235B28"/>
    <w:rsid w:val="00297089"/>
    <w:rsid w:val="00794B68"/>
    <w:rsid w:val="009B3D4B"/>
    <w:rsid w:val="00B3795E"/>
    <w:rsid w:val="00C97571"/>
    <w:rsid w:val="00EF3555"/>
    <w:rsid w:val="00F8563D"/>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4B"/>
  </w:style>
  <w:style w:type="paragraph" w:styleId="Heading1">
    <w:name w:val="heading 1"/>
    <w:basedOn w:val="normal0"/>
    <w:next w:val="normal0"/>
    <w:rsid w:val="00C97571"/>
    <w:pPr>
      <w:keepNext/>
      <w:keepLines/>
      <w:spacing w:before="400" w:after="120"/>
      <w:outlineLvl w:val="0"/>
    </w:pPr>
    <w:rPr>
      <w:sz w:val="40"/>
      <w:szCs w:val="40"/>
    </w:rPr>
  </w:style>
  <w:style w:type="paragraph" w:styleId="Heading2">
    <w:name w:val="heading 2"/>
    <w:basedOn w:val="normal0"/>
    <w:next w:val="normal0"/>
    <w:rsid w:val="00C97571"/>
    <w:pPr>
      <w:keepNext/>
      <w:keepLines/>
      <w:spacing w:before="360" w:after="120"/>
      <w:outlineLvl w:val="1"/>
    </w:pPr>
    <w:rPr>
      <w:sz w:val="32"/>
      <w:szCs w:val="32"/>
    </w:rPr>
  </w:style>
  <w:style w:type="paragraph" w:styleId="Heading3">
    <w:name w:val="heading 3"/>
    <w:basedOn w:val="normal0"/>
    <w:next w:val="normal0"/>
    <w:rsid w:val="00C97571"/>
    <w:pPr>
      <w:keepNext/>
      <w:keepLines/>
      <w:spacing w:before="320" w:after="80"/>
      <w:outlineLvl w:val="2"/>
    </w:pPr>
    <w:rPr>
      <w:color w:val="434343"/>
      <w:sz w:val="28"/>
      <w:szCs w:val="28"/>
    </w:rPr>
  </w:style>
  <w:style w:type="paragraph" w:styleId="Heading4">
    <w:name w:val="heading 4"/>
    <w:basedOn w:val="normal0"/>
    <w:next w:val="normal0"/>
    <w:rsid w:val="00C97571"/>
    <w:pPr>
      <w:keepNext/>
      <w:keepLines/>
      <w:spacing w:before="280" w:after="80"/>
      <w:outlineLvl w:val="3"/>
    </w:pPr>
    <w:rPr>
      <w:color w:val="666666"/>
      <w:sz w:val="24"/>
      <w:szCs w:val="24"/>
    </w:rPr>
  </w:style>
  <w:style w:type="paragraph" w:styleId="Heading5">
    <w:name w:val="heading 5"/>
    <w:basedOn w:val="normal0"/>
    <w:next w:val="normal0"/>
    <w:rsid w:val="00C97571"/>
    <w:pPr>
      <w:keepNext/>
      <w:keepLines/>
      <w:spacing w:before="240" w:after="80"/>
      <w:outlineLvl w:val="4"/>
    </w:pPr>
    <w:rPr>
      <w:color w:val="666666"/>
    </w:rPr>
  </w:style>
  <w:style w:type="paragraph" w:styleId="Heading6">
    <w:name w:val="heading 6"/>
    <w:basedOn w:val="normal0"/>
    <w:next w:val="normal0"/>
    <w:rsid w:val="00C9757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97571"/>
  </w:style>
  <w:style w:type="paragraph" w:styleId="Title">
    <w:name w:val="Title"/>
    <w:basedOn w:val="normal0"/>
    <w:next w:val="normal0"/>
    <w:rsid w:val="00C97571"/>
    <w:pPr>
      <w:keepNext/>
      <w:keepLines/>
      <w:spacing w:after="60"/>
    </w:pPr>
    <w:rPr>
      <w:sz w:val="52"/>
      <w:szCs w:val="52"/>
    </w:rPr>
  </w:style>
  <w:style w:type="paragraph" w:styleId="Subtitle">
    <w:name w:val="Subtitle"/>
    <w:basedOn w:val="normal0"/>
    <w:next w:val="normal0"/>
    <w:rsid w:val="00C97571"/>
    <w:pPr>
      <w:keepNext/>
      <w:keepLines/>
      <w:spacing w:after="320"/>
    </w:pPr>
    <w:rPr>
      <w:color w:val="666666"/>
      <w:sz w:val="30"/>
      <w:szCs w:val="30"/>
    </w:rPr>
  </w:style>
  <w:style w:type="table" w:customStyle="1" w:styleId="a">
    <w:basedOn w:val="TableNormal"/>
    <w:rsid w:val="00C9757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C9757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C97571"/>
    <w:tblPr>
      <w:tblStyleRowBandSize w:val="1"/>
      <w:tblStyleColBandSize w:val="1"/>
      <w:tblInd w:w="0" w:type="dxa"/>
      <w:tblCellMar>
        <w:top w:w="100" w:type="dxa"/>
        <w:left w:w="100" w:type="dxa"/>
        <w:bottom w:w="100" w:type="dxa"/>
        <w:right w:w="100" w:type="dxa"/>
      </w:tblCellMar>
    </w:tblPr>
  </w:style>
  <w:style w:type="character" w:styleId="Strong">
    <w:name w:val="Strong"/>
    <w:basedOn w:val="DefaultParagraphFont"/>
    <w:uiPriority w:val="22"/>
    <w:qFormat/>
    <w:rsid w:val="00235B28"/>
    <w:rPr>
      <w:b/>
      <w:bCs/>
    </w:rPr>
  </w:style>
  <w:style w:type="character" w:styleId="Emphasis">
    <w:name w:val="Emphasis"/>
    <w:basedOn w:val="DefaultParagraphFont"/>
    <w:uiPriority w:val="20"/>
    <w:qFormat/>
    <w:rsid w:val="00235B28"/>
    <w:rPr>
      <w:i/>
      <w:iCs/>
    </w:rPr>
  </w:style>
  <w:style w:type="character" w:styleId="Hyperlink">
    <w:name w:val="Hyperlink"/>
    <w:basedOn w:val="DefaultParagraphFont"/>
    <w:uiPriority w:val="99"/>
    <w:unhideWhenUsed/>
    <w:rsid w:val="00235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imbinanwar@gmail.com" TargetMode="External"/><Relationship Id="rId5" Type="http://schemas.openxmlformats.org/officeDocument/2006/relationships/hyperlink" Target="https://orcid.org/0000-0002-2489-5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2024-05-31T15:22:00Z</dcterms:created>
  <dcterms:modified xsi:type="dcterms:W3CDTF">2024-05-31T15:22:00Z</dcterms:modified>
</cp:coreProperties>
</file>